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highlight w:val="none"/>
          <w:lang w:eastAsia="zh-CN"/>
        </w:rPr>
      </w:pPr>
    </w:p>
    <w:p>
      <w:pPr>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汉中市工商业联合会</w:t>
      </w: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20</w:t>
      </w:r>
      <w:r>
        <w:rPr>
          <w:rFonts w:hint="eastAsia" w:ascii="黑体" w:hAnsi="黑体" w:eastAsia="黑体" w:cs="黑体"/>
          <w:sz w:val="36"/>
          <w:szCs w:val="36"/>
          <w:highlight w:val="none"/>
          <w:lang w:val="en-US" w:eastAsia="zh-CN"/>
        </w:rPr>
        <w:t>21</w:t>
      </w:r>
      <w:r>
        <w:rPr>
          <w:rFonts w:hint="eastAsia" w:ascii="黑体" w:hAnsi="黑体" w:eastAsia="黑体" w:cs="黑体"/>
          <w:sz w:val="36"/>
          <w:szCs w:val="36"/>
          <w:highlight w:val="none"/>
        </w:rPr>
        <w:t>年部门综合预算</w:t>
      </w:r>
    </w:p>
    <w:p>
      <w:pPr>
        <w:jc w:val="both"/>
        <w:rPr>
          <w:rFonts w:hint="eastAsia"/>
          <w:highlight w:val="none"/>
          <w:lang w:eastAsia="zh-CN"/>
        </w:rPr>
      </w:pPr>
    </w:p>
    <w:p>
      <w:pPr>
        <w:jc w:val="center"/>
        <w:rPr>
          <w:rFonts w:hint="eastAsia"/>
          <w:sz w:val="36"/>
          <w:szCs w:val="36"/>
          <w:highlight w:val="none"/>
          <w:lang w:eastAsia="zh-CN"/>
        </w:rPr>
      </w:pPr>
      <w:r>
        <w:rPr>
          <w:rFonts w:hint="eastAsia"/>
          <w:b/>
          <w:bCs/>
          <w:sz w:val="36"/>
          <w:szCs w:val="36"/>
          <w:highlight w:val="none"/>
          <w:lang w:eastAsia="zh-CN"/>
        </w:rPr>
        <w:t>目</w:t>
      </w:r>
      <w:r>
        <w:rPr>
          <w:rFonts w:hint="eastAsia"/>
          <w:b/>
          <w:bCs/>
          <w:sz w:val="36"/>
          <w:szCs w:val="36"/>
          <w:highlight w:val="none"/>
          <w:lang w:val="en-US" w:eastAsia="zh-CN"/>
        </w:rPr>
        <w:t xml:space="preserve">  </w:t>
      </w:r>
      <w:r>
        <w:rPr>
          <w:rFonts w:hint="eastAsia"/>
          <w:b/>
          <w:bCs/>
          <w:sz w:val="36"/>
          <w:szCs w:val="36"/>
          <w:highlight w:val="none"/>
          <w:lang w:eastAsia="zh-CN"/>
        </w:rPr>
        <w:t>录</w:t>
      </w:r>
    </w:p>
    <w:p>
      <w:pPr>
        <w:jc w:val="left"/>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第一部分</w:t>
      </w:r>
      <w:r>
        <w:rPr>
          <w:rFonts w:hint="eastAsia" w:asciiTheme="minorEastAsia" w:hAnsiTheme="minorEastAsia" w:eastAsiaTheme="minorEastAsia" w:cstheme="minorEastAsia"/>
          <w:b/>
          <w:bCs/>
          <w:sz w:val="32"/>
          <w:szCs w:val="32"/>
          <w:highlight w:val="none"/>
          <w:lang w:val="en-US" w:eastAsia="zh-CN"/>
        </w:rPr>
        <w:t xml:space="preserve"> 部门概况</w:t>
      </w:r>
    </w:p>
    <w:p>
      <w:pPr>
        <w:jc w:val="left"/>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一、</w:t>
      </w:r>
      <w:r>
        <w:rPr>
          <w:rFonts w:hint="eastAsia" w:asciiTheme="minorEastAsia" w:hAnsiTheme="minorEastAsia" w:eastAsiaTheme="minorEastAsia" w:cstheme="minorEastAsia"/>
          <w:sz w:val="32"/>
          <w:szCs w:val="32"/>
          <w:highlight w:val="none"/>
        </w:rPr>
        <w:t>部门主要职责</w:t>
      </w:r>
      <w:r>
        <w:rPr>
          <w:rFonts w:hint="eastAsia" w:asciiTheme="minorEastAsia" w:hAnsiTheme="minorEastAsia" w:eastAsiaTheme="minorEastAsia" w:cstheme="minorEastAsia"/>
          <w:sz w:val="32"/>
          <w:szCs w:val="32"/>
          <w:highlight w:val="none"/>
          <w:lang w:eastAsia="zh-CN"/>
        </w:rPr>
        <w:t>及机构设置</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二、</w:t>
      </w:r>
      <w:r>
        <w:rPr>
          <w:rFonts w:hint="eastAsia" w:asciiTheme="minorEastAsia" w:hAnsiTheme="minorEastAsia" w:eastAsiaTheme="minorEastAsia" w:cstheme="minorEastAsia"/>
          <w:sz w:val="32"/>
          <w:szCs w:val="32"/>
          <w:highlight w:val="none"/>
          <w:lang w:eastAsia="zh-CN"/>
        </w:rPr>
        <w:t>202</w:t>
      </w:r>
      <w:r>
        <w:rPr>
          <w:rFonts w:hint="eastAsia" w:asciiTheme="minorEastAsia" w:hAnsiTheme="minorEastAsia" w:eastAsiaTheme="minorEastAsia" w:cstheme="minorEastAsia"/>
          <w:sz w:val="32"/>
          <w:szCs w:val="32"/>
          <w:highlight w:val="none"/>
          <w:lang w:val="en-US" w:eastAsia="zh-CN"/>
        </w:rPr>
        <w:t>1</w:t>
      </w:r>
      <w:r>
        <w:rPr>
          <w:rFonts w:hint="eastAsia" w:asciiTheme="minorEastAsia" w:hAnsiTheme="minorEastAsia" w:eastAsiaTheme="minorEastAsia" w:cstheme="minorEastAsia"/>
          <w:sz w:val="32"/>
          <w:szCs w:val="32"/>
          <w:highlight w:val="none"/>
        </w:rPr>
        <w:t>年年度部门工作任务</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三、部门预算单位构成</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四、部门人员情况说明</w:t>
      </w:r>
    </w:p>
    <w:p>
      <w:pP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第二部分</w:t>
      </w:r>
      <w:r>
        <w:rPr>
          <w:rFonts w:hint="eastAsia" w:asciiTheme="minorEastAsia" w:hAnsiTheme="minorEastAsia" w:eastAsiaTheme="minorEastAsia" w:cstheme="minorEastAsia"/>
          <w:b/>
          <w:bCs/>
          <w:sz w:val="32"/>
          <w:szCs w:val="32"/>
          <w:highlight w:val="none"/>
          <w:lang w:val="en-US" w:eastAsia="zh-CN"/>
        </w:rPr>
        <w:t xml:space="preserve"> 收支情况</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五、202</w:t>
      </w:r>
      <w:r>
        <w:rPr>
          <w:rFonts w:hint="eastAsia" w:asciiTheme="minorEastAsia" w:hAnsiTheme="minorEastAsia" w:eastAsiaTheme="minorEastAsia" w:cstheme="minorEastAsia"/>
          <w:sz w:val="32"/>
          <w:szCs w:val="32"/>
          <w:highlight w:val="none"/>
          <w:lang w:val="en-US" w:eastAsia="zh-CN"/>
        </w:rPr>
        <w:t>1</w:t>
      </w:r>
      <w:r>
        <w:rPr>
          <w:rFonts w:hint="eastAsia" w:asciiTheme="minorEastAsia" w:hAnsiTheme="minorEastAsia" w:eastAsiaTheme="minorEastAsia" w:cstheme="minorEastAsia"/>
          <w:sz w:val="32"/>
          <w:szCs w:val="32"/>
          <w:highlight w:val="none"/>
        </w:rPr>
        <w:t>年部门预算收支说明</w:t>
      </w:r>
    </w:p>
    <w:p>
      <w:pP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第三部分</w:t>
      </w:r>
      <w:r>
        <w:rPr>
          <w:rFonts w:hint="eastAsia" w:asciiTheme="minorEastAsia" w:hAnsiTheme="minorEastAsia" w:eastAsiaTheme="minorEastAsia" w:cstheme="minorEastAsia"/>
          <w:b/>
          <w:bCs/>
          <w:sz w:val="32"/>
          <w:szCs w:val="32"/>
          <w:highlight w:val="none"/>
          <w:lang w:val="en-US" w:eastAsia="zh-CN"/>
        </w:rPr>
        <w:t xml:space="preserve"> 其他说明情况</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六</w:t>
      </w:r>
      <w:r>
        <w:rPr>
          <w:rFonts w:hint="eastAsia" w:asciiTheme="minorEastAsia" w:hAnsiTheme="minorEastAsia" w:eastAsiaTheme="minorEastAsia" w:cstheme="minorEastAsia"/>
          <w:sz w:val="32"/>
          <w:szCs w:val="32"/>
          <w:highlight w:val="none"/>
        </w:rPr>
        <w:t>、部门预算</w:t>
      </w:r>
      <w:r>
        <w:rPr>
          <w:rFonts w:hint="eastAsia" w:asciiTheme="minorEastAsia" w:hAnsiTheme="minorEastAsia" w:eastAsiaTheme="minorEastAsia" w:cstheme="minorEastAsia"/>
          <w:sz w:val="32"/>
          <w:szCs w:val="32"/>
          <w:highlight w:val="none"/>
          <w:lang w:eastAsia="zh-CN"/>
        </w:rPr>
        <w:t>“三公”经费等情况说明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七</w:t>
      </w:r>
      <w:r>
        <w:rPr>
          <w:rFonts w:hint="eastAsia" w:asciiTheme="minorEastAsia" w:hAnsiTheme="minorEastAsia" w:eastAsiaTheme="minorEastAsia" w:cstheme="minorEastAsia"/>
          <w:sz w:val="32"/>
          <w:szCs w:val="32"/>
          <w:highlight w:val="none"/>
        </w:rPr>
        <w:t>、部门国有资产占有使用</w:t>
      </w:r>
      <w:r>
        <w:rPr>
          <w:rFonts w:hint="eastAsia" w:asciiTheme="minorEastAsia" w:hAnsiTheme="minorEastAsia" w:eastAsiaTheme="minorEastAsia" w:cstheme="minorEastAsia"/>
          <w:sz w:val="32"/>
          <w:szCs w:val="32"/>
          <w:highlight w:val="none"/>
          <w:lang w:eastAsia="zh-CN"/>
        </w:rPr>
        <w:t>及资产购置</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八、部门政府采购</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九、部门预算</w:t>
      </w:r>
      <w:r>
        <w:rPr>
          <w:rFonts w:hint="eastAsia" w:asciiTheme="minorEastAsia" w:hAnsiTheme="minorEastAsia" w:eastAsiaTheme="minorEastAsia" w:cstheme="minorEastAsia"/>
          <w:sz w:val="32"/>
          <w:szCs w:val="32"/>
          <w:highlight w:val="none"/>
        </w:rPr>
        <w:t>绩效目标说明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w:t>
      </w:r>
      <w:r>
        <w:rPr>
          <w:rFonts w:hint="eastAsia" w:asciiTheme="minorEastAsia" w:hAnsiTheme="minorEastAsia" w:eastAsiaTheme="minorEastAsia" w:cstheme="minorEastAsia"/>
          <w:sz w:val="32"/>
          <w:szCs w:val="32"/>
          <w:highlight w:val="none"/>
        </w:rPr>
        <w:t>、</w:t>
      </w:r>
      <w:r>
        <w:rPr>
          <w:rFonts w:hint="eastAsia" w:asciiTheme="minorEastAsia" w:hAnsiTheme="minorEastAsia" w:eastAsiaTheme="minorEastAsia" w:cstheme="minorEastAsia"/>
          <w:sz w:val="32"/>
          <w:szCs w:val="32"/>
          <w:highlight w:val="none"/>
          <w:lang w:eastAsia="zh-CN"/>
        </w:rPr>
        <w:t>机关运行经费安排说明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十一、专业名词解释</w:t>
      </w:r>
    </w:p>
    <w:p>
      <w:pPr>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第四部分</w:t>
      </w:r>
      <w:r>
        <w:rPr>
          <w:rFonts w:hint="eastAsia" w:asciiTheme="minorEastAsia" w:hAnsiTheme="minorEastAsia" w:eastAsiaTheme="minorEastAsia" w:cstheme="minorEastAsia"/>
          <w:b/>
          <w:bCs/>
          <w:sz w:val="32"/>
          <w:szCs w:val="32"/>
          <w:highlight w:val="none"/>
          <w:lang w:val="en-US" w:eastAsia="zh-CN"/>
        </w:rPr>
        <w:t xml:space="preserve">  公开报表</w:t>
      </w:r>
    </w:p>
    <w:p>
      <w:pPr>
        <w:jc w:val="both"/>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（具体部门预算公开报表）</w:t>
      </w:r>
    </w:p>
    <w:p>
      <w:pPr>
        <w:ind w:firstLine="640"/>
        <w:jc w:val="cente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第一部分</w:t>
      </w:r>
      <w:r>
        <w:rPr>
          <w:rFonts w:hint="eastAsia" w:ascii="仿宋_GB2312" w:hAnsi="仿宋_GB2312" w:eastAsia="仿宋_GB2312" w:cs="仿宋_GB2312"/>
          <w:b/>
          <w:bCs/>
          <w:sz w:val="32"/>
          <w:szCs w:val="32"/>
          <w:highlight w:val="none"/>
          <w:lang w:val="en-US" w:eastAsia="zh-CN"/>
        </w:rPr>
        <w:t xml:space="preserve">  部门概况</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一、部门主要职责</w:t>
      </w:r>
      <w:r>
        <w:rPr>
          <w:rFonts w:hint="eastAsia" w:ascii="仿宋_GB2312" w:hAnsi="仿宋_GB2312" w:eastAsia="仿宋_GB2312" w:cs="仿宋_GB2312"/>
          <w:b/>
          <w:bCs/>
          <w:sz w:val="32"/>
          <w:szCs w:val="32"/>
          <w:highlight w:val="none"/>
          <w:lang w:eastAsia="zh-CN"/>
        </w:rPr>
        <w:t>及机构设置</w:t>
      </w:r>
    </w:p>
    <w:p>
      <w:pPr>
        <w:keepNext w:val="0"/>
        <w:keepLines w:val="0"/>
        <w:widowControl/>
        <w:suppressLineNumbers w:val="0"/>
        <w:ind w:firstLine="622" w:firstLineChars="200"/>
        <w:jc w:val="left"/>
      </w:pPr>
      <w:r>
        <w:rPr>
          <w:rFonts w:ascii="仿宋" w:hAnsi="仿宋" w:eastAsia="仿宋" w:cs="仿宋"/>
          <w:b/>
          <w:color w:val="000000"/>
          <w:kern w:val="0"/>
          <w:sz w:val="31"/>
          <w:szCs w:val="31"/>
          <w:lang w:val="en-US" w:eastAsia="zh-CN" w:bidi="ar"/>
        </w:rPr>
        <w:t xml:space="preserve">（一）主要职责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1.加强非公有制经济人士思想政治工作。引导非公有制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经济人士学习贯彻党的路线方针政策，遵守国家法律法规，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培养拥护党的领导、坚持中国特色社会主义道路的非公有制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经济人士队伍。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2.参加政治协商，发挥民主监督作用，积极参政议政。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协助党委做好非公有制经济代表人士的政冶安排，深入了解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非公有制经济代表人士的意愿和要求，向党委、政府提出相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关意见建议，促进非公有制经济健康发展；帮助非公有制经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济代表人士提高参政议政能力和水平，积极反映社情民意，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有序参与政治生活和社会事务。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3.当好政府管理和服务非公有制经济的助手。发挥参政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议政、民主监督优势，承担政府相关重要经济决策征询非公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有制经济代表人士意见的职责；参与促进非公有制经济和中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小企业发展的领导机构和协调机制建设，参与中小企业服务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体系建设；积极开展民间外交，加强同境外工商界的交流合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作，更好地为非公有制企业开展国际合作提供服务，通过信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息、法律、融资、技术、人才等方面的服务，帮助非公有制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企业加快结构调整和自主创新，不断增强其市场竞争、抵御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风险和可持续发展能力。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4.促进行业（协会）商会改革发展。履行指导社会团体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业务职责，指导和推动商会组织完善法人治理结构、规范内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部管理、依照法律和章程开展活动，为会员提供服务，反映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其诉求，维护其权益。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5.积极推动构建和谐劳动关系。参与协调劳动关系三方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会议，会同人社部门、工会组织和有关企业代表，推动劳动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关系立法和劳动关系协调机制建设，研究解决劳动关系中的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重大问题并调处劳动争议。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6.承担市委、市政府交办的其他工作。 </w:t>
      </w:r>
    </w:p>
    <w:p>
      <w:pPr>
        <w:keepNext w:val="0"/>
        <w:keepLines w:val="0"/>
        <w:widowControl/>
        <w:suppressLineNumbers w:val="0"/>
        <w:ind w:firstLine="622" w:firstLineChars="200"/>
        <w:jc w:val="left"/>
      </w:pPr>
      <w:r>
        <w:rPr>
          <w:rFonts w:hint="eastAsia" w:ascii="仿宋" w:hAnsi="仿宋" w:eastAsia="仿宋" w:cs="仿宋"/>
          <w:b/>
          <w:color w:val="000000"/>
          <w:kern w:val="0"/>
          <w:sz w:val="31"/>
          <w:szCs w:val="31"/>
          <w:lang w:val="en-US" w:eastAsia="zh-CN" w:bidi="ar"/>
        </w:rPr>
        <w:t xml:space="preserve">（二）机构设置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根据三定方案，市工商联设内设机构 2 个，分别为办公 </w:t>
      </w:r>
    </w:p>
    <w:p>
      <w:pPr>
        <w:keepNext w:val="0"/>
        <w:keepLines w:val="0"/>
        <w:widowControl/>
        <w:suppressLineNumbers w:val="0"/>
        <w:jc w:val="left"/>
        <w:rPr>
          <w:rFonts w:hint="eastAsia" w:ascii="仿宋_GB2312" w:hAnsi="仿宋_GB2312" w:eastAsia="仿宋_GB2312" w:cs="仿宋_GB2312"/>
          <w:sz w:val="32"/>
          <w:szCs w:val="32"/>
          <w:highlight w:val="none"/>
          <w:lang w:eastAsia="zh-CN"/>
        </w:rPr>
      </w:pPr>
      <w:r>
        <w:rPr>
          <w:rFonts w:hint="eastAsia" w:ascii="仿宋" w:hAnsi="仿宋" w:eastAsia="仿宋" w:cs="仿宋"/>
          <w:color w:val="000000"/>
          <w:kern w:val="0"/>
          <w:sz w:val="31"/>
          <w:szCs w:val="31"/>
          <w:lang w:val="en-US" w:eastAsia="zh-CN" w:bidi="ar"/>
        </w:rPr>
        <w:t xml:space="preserve">室、经济联络部。 </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w:t>
      </w:r>
      <w:r>
        <w:rPr>
          <w:rFonts w:hint="eastAsia" w:ascii="仿宋_GB2312" w:hAnsi="仿宋_GB2312" w:eastAsia="仿宋_GB2312" w:cs="仿宋_GB2312"/>
          <w:b/>
          <w:bCs/>
          <w:sz w:val="32"/>
          <w:szCs w:val="32"/>
          <w:highlight w:val="none"/>
          <w:lang w:eastAsia="zh-CN"/>
        </w:rPr>
        <w:t>202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年度部门工作任务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Calibri" w:eastAsia="仿宋_GB2312" w:cs="宋体"/>
          <w:sz w:val="32"/>
          <w:szCs w:val="32"/>
        </w:rPr>
      </w:pPr>
      <w:r>
        <w:rPr>
          <w:rFonts w:hint="eastAsia" w:ascii="仿宋_GB2312" w:hAnsi="仿宋_GB2312" w:eastAsia="仿宋_GB2312" w:cs="仿宋_GB2312"/>
          <w:color w:val="000000"/>
          <w:sz w:val="32"/>
          <w:szCs w:val="32"/>
          <w:lang w:val="en-US" w:eastAsia="zh-CN"/>
        </w:rPr>
        <w:t>2021年是中国共产党成立100周年，是开启全面建设社会主义现代化国家新征程的第一年，也是谱写汉中新时代追赶超越新篇章的关键之年。</w:t>
      </w:r>
      <w:r>
        <w:rPr>
          <w:rFonts w:hint="eastAsia" w:ascii="仿宋_GB2312" w:hAnsi="仿宋_GB2312" w:eastAsia="仿宋_GB2312" w:cs="仿宋_GB2312"/>
          <w:color w:val="000000"/>
          <w:sz w:val="32"/>
          <w:szCs w:val="32"/>
          <w:lang w:eastAsia="zh-CN"/>
        </w:rPr>
        <w:t>汉中</w:t>
      </w:r>
      <w:r>
        <w:rPr>
          <w:rFonts w:hint="eastAsia" w:ascii="仿宋_GB2312" w:hAnsi="仿宋_GB2312" w:eastAsia="仿宋_GB2312" w:cs="仿宋_GB2312"/>
          <w:color w:val="000000"/>
          <w:sz w:val="32"/>
          <w:szCs w:val="32"/>
        </w:rPr>
        <w:t>市工商联</w:t>
      </w:r>
      <w:r>
        <w:rPr>
          <w:rFonts w:hint="eastAsia" w:ascii="仿宋_GB2312" w:hAnsi="仿宋_GB2312" w:eastAsia="仿宋_GB2312" w:cs="仿宋_GB2312"/>
          <w:color w:val="000000"/>
          <w:sz w:val="32"/>
          <w:szCs w:val="32"/>
          <w:lang w:val="en-US" w:eastAsia="zh-CN"/>
        </w:rPr>
        <w:t>2021年</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b w:val="0"/>
          <w:bCs/>
          <w:color w:val="000000"/>
          <w:sz w:val="32"/>
          <w:szCs w:val="32"/>
        </w:rPr>
        <w:t>工作</w:t>
      </w:r>
      <w:r>
        <w:rPr>
          <w:rFonts w:hint="eastAsia" w:ascii="仿宋_GB2312" w:hAnsi="仿宋_GB2312" w:eastAsia="仿宋_GB2312" w:cs="仿宋_GB2312"/>
          <w:b/>
          <w:color w:val="000000"/>
          <w:sz w:val="32"/>
          <w:szCs w:val="32"/>
          <w:lang w:eastAsia="zh-CN"/>
        </w:rPr>
        <w:t>总体</w:t>
      </w:r>
      <w:r>
        <w:rPr>
          <w:rFonts w:hint="eastAsia" w:ascii="仿宋_GB2312" w:hAnsi="仿宋_GB2312" w:eastAsia="仿宋_GB2312" w:cs="仿宋_GB2312"/>
          <w:b/>
          <w:color w:val="000000"/>
          <w:sz w:val="32"/>
          <w:szCs w:val="32"/>
        </w:rPr>
        <w:t>思路</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sz w:val="32"/>
          <w:szCs w:val="32"/>
        </w:rPr>
        <w:t>始终坚持以习近平新时代中国特色社会主义思想为指导，持续深入学习贯彻习近平总书记来陕考察重要讲话重要指示和在企业家座谈会上重要讲话精神，</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贯彻落实党的十九大以来历次全会</w:t>
      </w:r>
      <w:r>
        <w:rPr>
          <w:rFonts w:hint="eastAsia" w:ascii="仿宋_GB2312" w:hAnsi="仿宋_GB2312" w:eastAsia="仿宋_GB2312" w:cs="仿宋_GB2312"/>
          <w:sz w:val="32"/>
          <w:szCs w:val="32"/>
          <w:lang w:eastAsia="zh-CN"/>
        </w:rPr>
        <w:t>和省工商联执委会议、</w:t>
      </w:r>
      <w:r>
        <w:rPr>
          <w:rFonts w:hint="eastAsia" w:ascii="仿宋_GB2312" w:hAnsi="仿宋_GB2312" w:eastAsia="仿宋_GB2312" w:cs="仿宋_GB2312"/>
          <w:color w:val="000000"/>
          <w:sz w:val="32"/>
          <w:szCs w:val="32"/>
          <w:lang w:eastAsia="zh-CN"/>
        </w:rPr>
        <w:t>市委工作会、全市统战部长会议精神，</w:t>
      </w:r>
      <w:r>
        <w:rPr>
          <w:rFonts w:hint="eastAsia" w:ascii="仿宋_GB2312" w:hAnsi="仿宋_GB2312" w:eastAsia="仿宋_GB2312" w:cs="仿宋_GB2312"/>
          <w:sz w:val="32"/>
          <w:szCs w:val="32"/>
        </w:rPr>
        <w:t>紧紧围绕</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政府中心工作，</w:t>
      </w:r>
      <w:r>
        <w:rPr>
          <w:rFonts w:hint="eastAsia" w:ascii="仿宋_GB2312" w:hAnsi="仿宋_GB2312" w:eastAsia="仿宋_GB2312" w:cs="仿宋_GB2312"/>
          <w:color w:val="000000"/>
          <w:sz w:val="32"/>
          <w:szCs w:val="32"/>
        </w:rPr>
        <w:t>按照“政治建会、团结立会、服务兴会、改革强会”</w:t>
      </w:r>
      <w:r>
        <w:rPr>
          <w:rFonts w:hint="eastAsia" w:ascii="仿宋_GB2312" w:hAnsi="仿宋_GB2312" w:eastAsia="仿宋_GB2312" w:cs="仿宋_GB2312"/>
          <w:color w:val="000000"/>
          <w:sz w:val="32"/>
          <w:szCs w:val="32"/>
          <w:lang w:eastAsia="zh-CN"/>
        </w:rPr>
        <w:t>要求</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非公</w:t>
      </w:r>
      <w:r>
        <w:rPr>
          <w:rFonts w:hint="eastAsia" w:ascii="仿宋_GB2312" w:hAnsi="仿宋_GB2312" w:eastAsia="仿宋_GB2312" w:cs="仿宋_GB2312"/>
          <w:sz w:val="32"/>
          <w:szCs w:val="32"/>
        </w:rPr>
        <w:t>经济人士思想政治建设，提升调查研究和参政议政水平，服务民营经济高质量发展，</w:t>
      </w:r>
      <w:r>
        <w:rPr>
          <w:rFonts w:hint="eastAsia" w:ascii="仿宋_GB2312" w:hAnsi="仿宋_GB2312" w:eastAsia="仿宋_GB2312" w:cs="仿宋_GB2312"/>
          <w:sz w:val="32"/>
          <w:szCs w:val="32"/>
          <w:lang w:eastAsia="zh-CN"/>
        </w:rPr>
        <w:t>深化</w:t>
      </w:r>
      <w:r>
        <w:rPr>
          <w:rFonts w:hint="eastAsia" w:ascii="仿宋_GB2312" w:hAnsi="仿宋_GB2312" w:eastAsia="仿宋_GB2312" w:cs="仿宋_GB2312"/>
          <w:sz w:val="32"/>
          <w:szCs w:val="32"/>
        </w:rPr>
        <w:t>工商联及所属商会改革，启动“万企兴万村”行动，</w:t>
      </w:r>
      <w:r>
        <w:rPr>
          <w:rFonts w:hint="eastAsia" w:ascii="仿宋_GB2312" w:hAnsi="仿宋_GB2312" w:eastAsia="仿宋_GB2312" w:cs="仿宋_GB2312"/>
          <w:sz w:val="32"/>
          <w:szCs w:val="32"/>
          <w:lang w:eastAsia="zh-CN"/>
        </w:rPr>
        <w:t>聚力“两个健康”、推动工商联事业发展，</w:t>
      </w:r>
      <w:r>
        <w:rPr>
          <w:rFonts w:hint="eastAsia" w:ascii="仿宋_GB2312" w:hAnsi="仿宋_GB2312" w:eastAsia="仿宋_GB2312" w:cs="仿宋_GB2312"/>
          <w:sz w:val="32"/>
          <w:szCs w:val="32"/>
        </w:rPr>
        <w:t>为谱写</w:t>
      </w:r>
      <w:r>
        <w:rPr>
          <w:rFonts w:hint="eastAsia" w:ascii="仿宋_GB2312" w:hAnsi="仿宋_GB2312" w:eastAsia="仿宋_GB2312" w:cs="仿宋_GB2312"/>
          <w:sz w:val="32"/>
          <w:szCs w:val="32"/>
          <w:lang w:eastAsia="zh-CN"/>
        </w:rPr>
        <w:t>汉中</w:t>
      </w:r>
      <w:r>
        <w:rPr>
          <w:rFonts w:hint="eastAsia" w:ascii="仿宋_GB2312" w:hAnsi="仿宋_GB2312" w:eastAsia="仿宋_GB2312" w:cs="仿宋_GB2312"/>
          <w:sz w:val="32"/>
          <w:szCs w:val="32"/>
        </w:rPr>
        <w:t>新时代追赶超越新篇章贡献力量，以优异成绩为中国共产党成立100周年献礼。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000000"/>
          <w:sz w:val="32"/>
          <w:szCs w:val="32"/>
          <w:lang w:eastAsia="zh-CN"/>
        </w:rPr>
      </w:pPr>
      <w:r>
        <w:rPr>
          <w:rFonts w:hint="eastAsia" w:ascii="黑体" w:hAnsi="黑体" w:eastAsia="黑体" w:cs="宋体"/>
          <w:color w:val="000000"/>
          <w:sz w:val="32"/>
          <w:szCs w:val="32"/>
          <w:lang w:eastAsia="zh-CN"/>
        </w:rPr>
        <w:t>（</w:t>
      </w:r>
      <w:r>
        <w:rPr>
          <w:rFonts w:hint="eastAsia" w:ascii="黑体" w:hAnsi="黑体" w:eastAsia="黑体" w:cs="宋体"/>
          <w:color w:val="000000"/>
          <w:sz w:val="32"/>
          <w:szCs w:val="32"/>
        </w:rPr>
        <w:t>一</w:t>
      </w:r>
      <w:r>
        <w:rPr>
          <w:rFonts w:hint="eastAsia" w:ascii="黑体" w:hAnsi="黑体" w:eastAsia="黑体" w:cs="宋体"/>
          <w:color w:val="000000"/>
          <w:sz w:val="32"/>
          <w:szCs w:val="32"/>
          <w:lang w:eastAsia="zh-CN"/>
        </w:rPr>
        <w:t>）突出政治思想</w:t>
      </w:r>
      <w:r>
        <w:rPr>
          <w:rFonts w:hint="eastAsia" w:ascii="黑体" w:hAnsi="黑体" w:eastAsia="黑体" w:cs="宋体"/>
          <w:color w:val="000000"/>
          <w:sz w:val="32"/>
          <w:szCs w:val="32"/>
        </w:rPr>
        <w:t>引领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cs="黑体"/>
          <w:sz w:val="32"/>
          <w:szCs w:val="32"/>
        </w:rPr>
      </w:pPr>
      <w:r>
        <w:rPr>
          <w:rFonts w:hint="eastAsia" w:ascii="仿宋_GB2312" w:hAnsi="Calibri" w:eastAsia="仿宋_GB2312" w:cs="宋体"/>
          <w:sz w:val="32"/>
          <w:szCs w:val="32"/>
          <w:lang w:val="en-US" w:eastAsia="zh-CN"/>
        </w:rPr>
        <w:t>1.深入学习贯彻习近平总书记重要讲话重要论述精神。</w:t>
      </w:r>
      <w:r>
        <w:rPr>
          <w:rFonts w:hint="eastAsia" w:ascii="仿宋_GB2312" w:hAnsi="仿宋_GB2312" w:eastAsia="仿宋_GB2312" w:cs="仿宋_GB2312"/>
          <w:sz w:val="32"/>
          <w:szCs w:val="32"/>
        </w:rPr>
        <w:t>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工商联系统组织开展政治理论学习活动，重点学习贯彻党的十九届五中全会、中央经济工作会议、民营经济统战工作会议和省委十三届七次、八次全会、全省经济工作会议</w:t>
      </w:r>
      <w:r>
        <w:rPr>
          <w:rFonts w:hint="eastAsia" w:ascii="仿宋_GB2312" w:hAnsi="仿宋_GB2312" w:eastAsia="仿宋_GB2312" w:cs="仿宋_GB2312"/>
          <w:sz w:val="32"/>
          <w:szCs w:val="32"/>
          <w:lang w:eastAsia="zh-CN"/>
        </w:rPr>
        <w:t>和市委全委会、市委工作会、全市统战部长会议</w:t>
      </w:r>
      <w:r>
        <w:rPr>
          <w:rFonts w:hint="eastAsia" w:ascii="仿宋_GB2312" w:hAnsi="仿宋_GB2312" w:eastAsia="仿宋_GB2312" w:cs="仿宋_GB2312"/>
          <w:sz w:val="32"/>
          <w:szCs w:val="32"/>
        </w:rPr>
        <w:t>等精神，特别是持续深入学习贯彻习近平总书记来陕考察重要讲话精神、在企业家座谈会上重要讲话精神和总书记关于新时代民营经济统战工作的重要指示精神，组织集中学习、专题讲座和研讨交流，真正做到学懂弄通做实。</w:t>
      </w:r>
      <w:r>
        <w:rPr>
          <w:rFonts w:hint="eastAsia" w:ascii="仿宋_GB2312" w:hAnsi="Calibri" w:eastAsia="仿宋_GB2312" w:cs="宋体"/>
          <w:sz w:val="32"/>
          <w:szCs w:val="32"/>
        </w:rPr>
        <w:t>利用调研、走访、座谈等机会，继续深入基层、深入企业广泛开展宣传和宣讲活动。</w:t>
      </w:r>
      <w:r>
        <w:rPr>
          <w:rFonts w:hint="eastAsia" w:ascii="仿宋_GB2312" w:hAnsi="仿宋_GB2312" w:eastAsia="仿宋_GB2312" w:cs="仿宋_GB2312"/>
          <w:sz w:val="32"/>
          <w:szCs w:val="32"/>
        </w:rPr>
        <w:t>引导商会和企业运用新媒体和科技手段，在各自领域创新开展特色学习宣传贯彻活动。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Calibri" w:eastAsia="仿宋_GB2312" w:cs="宋体"/>
          <w:sz w:val="32"/>
          <w:szCs w:val="32"/>
          <w:lang w:val="en-US" w:eastAsia="zh-CN"/>
        </w:rPr>
        <w:t>2.深化民营经济人士理想信念教育。</w:t>
      </w:r>
      <w:r>
        <w:rPr>
          <w:rFonts w:hint="eastAsia" w:ascii="仿宋_GB2312" w:hAnsi="仿宋_GB2312" w:eastAsia="仿宋_GB2312" w:cs="仿宋_GB2312"/>
          <w:sz w:val="32"/>
          <w:szCs w:val="32"/>
        </w:rPr>
        <w:t>认真落实《关于加强新时代民营经济人士理想信念教育的意见》精神，以弘扬企业家精神、争做新时代典范为重点，夯实思想政治教育。丰富教育内容、创新教育方式、提高工作实效，以典型引领活动深入开展,加大对县区教育实践活动的督导力度。组织开展庆祝建党100周年系列活动。</w:t>
      </w:r>
      <w:r>
        <w:rPr>
          <w:rFonts w:hint="eastAsia" w:ascii="仿宋_GB2312" w:hAnsi="Calibri" w:eastAsia="仿宋_GB2312" w:cs="宋体"/>
          <w:sz w:val="32"/>
          <w:szCs w:val="32"/>
        </w:rPr>
        <w:t>继续</w:t>
      </w:r>
      <w:r>
        <w:rPr>
          <w:rFonts w:hint="eastAsia" w:ascii="仿宋_GB2312" w:eastAsia="仿宋_GB2312" w:cs="宋体"/>
          <w:sz w:val="32"/>
          <w:szCs w:val="32"/>
          <w:lang w:eastAsia="zh-CN"/>
        </w:rPr>
        <w:t>加强</w:t>
      </w:r>
      <w:r>
        <w:rPr>
          <w:rFonts w:hint="eastAsia" w:ascii="仿宋_GB2312" w:hAnsi="Calibri" w:eastAsia="仿宋_GB2312" w:cs="宋体"/>
          <w:sz w:val="32"/>
          <w:szCs w:val="32"/>
        </w:rPr>
        <w:t>与民营经济代表人士谈心交心活动，抓好民营经济人士廉洁教育。</w:t>
      </w:r>
      <w:r>
        <w:rPr>
          <w:rFonts w:hint="eastAsia" w:ascii="仿宋_GB2312" w:hAnsi="仿宋_GB2312" w:eastAsia="仿宋_GB2312" w:cs="仿宋_GB2312"/>
          <w:sz w:val="32"/>
          <w:szCs w:val="32"/>
        </w:rPr>
        <w:t>做好我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民营经济领域宣传和舆情信息工作。</w:t>
      </w:r>
      <w:r>
        <w:rPr>
          <w:rFonts w:hint="eastAsia" w:ascii="仿宋_GB2312" w:hAnsi="Calibri" w:eastAsia="仿宋_GB2312" w:cs="宋体"/>
          <w:sz w:val="32"/>
          <w:szCs w:val="32"/>
        </w:rPr>
        <w:t>定期分析研判工商联系统意识形态领域情况，及时处置化解。</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加强培训教育，按计划组织举办非公经济代表人士培训和工商联系统党建工作培训活动。</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color w:val="000000"/>
          <w:sz w:val="32"/>
          <w:szCs w:val="32"/>
        </w:rPr>
      </w:pPr>
      <w:r>
        <w:rPr>
          <w:rFonts w:hint="eastAsia" w:ascii="仿宋_GB2312" w:hAnsi="Calibri" w:eastAsia="仿宋_GB2312" w:cs="宋体"/>
          <w:sz w:val="32"/>
          <w:szCs w:val="32"/>
          <w:lang w:val="en-US" w:eastAsia="zh-CN"/>
        </w:rPr>
        <w:t>3.注重正面宣传。配</w:t>
      </w:r>
      <w:r>
        <w:rPr>
          <w:rFonts w:hint="eastAsia" w:ascii="仿宋_GB2312" w:hAnsi="仿宋_GB2312" w:eastAsia="仿宋_GB2312" w:cs="仿宋_GB2312"/>
          <w:color w:val="000000"/>
          <w:sz w:val="32"/>
          <w:szCs w:val="32"/>
          <w:lang w:val="en-US" w:eastAsia="zh-CN"/>
        </w:rPr>
        <w:t>合相关部门做好综合评价工作。评优树模，开展优秀民营企业、优秀非公经济人士评选表彰工作。加大宣传工作力度，充分利用工商联系统“两微两站两刊”（市微信群公众号、省市联网站、全联省联报刊），积极宣传我市非公经济先进典型及光彩事业、扶贫济困公益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宋体"/>
          <w:color w:val="000000"/>
          <w:sz w:val="32"/>
          <w:szCs w:val="32"/>
          <w:lang w:eastAsia="zh-CN"/>
        </w:rPr>
        <w:t>（二）</w:t>
      </w:r>
      <w:r>
        <w:rPr>
          <w:rFonts w:hint="eastAsia" w:ascii="黑体" w:hAnsi="黑体" w:eastAsia="黑体" w:cs="黑体"/>
          <w:sz w:val="32"/>
          <w:szCs w:val="32"/>
        </w:rPr>
        <w:t>提升调研参政</w:t>
      </w:r>
      <w:r>
        <w:rPr>
          <w:rFonts w:hint="eastAsia" w:ascii="黑体" w:hAnsi="黑体" w:eastAsia="黑体" w:cs="黑体"/>
          <w:sz w:val="32"/>
          <w:szCs w:val="32"/>
          <w:lang w:eastAsia="zh-CN"/>
        </w:rPr>
        <w:t>工作</w:t>
      </w:r>
      <w:r>
        <w:rPr>
          <w:rFonts w:hint="eastAsia" w:ascii="黑体" w:hAnsi="黑体" w:eastAsia="黑体" w:cs="黑体"/>
          <w:sz w:val="32"/>
          <w:szCs w:val="32"/>
        </w:rPr>
        <w:t>水平</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4.召开市工商联四届五次执委会，全面总结2020年度工作，安排部署2021年工作。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color w:val="000000"/>
          <w:sz w:val="32"/>
          <w:szCs w:val="32"/>
          <w:lang w:eastAsia="zh-CN"/>
        </w:rPr>
      </w:pPr>
      <w:r>
        <w:rPr>
          <w:rFonts w:hint="eastAsia" w:ascii="仿宋_GB2312" w:hAnsi="Calibri" w:eastAsia="仿宋_GB2312" w:cs="宋体"/>
          <w:sz w:val="32"/>
          <w:szCs w:val="32"/>
          <w:lang w:val="en-US" w:eastAsia="zh-CN"/>
        </w:rPr>
        <w:t>5.</w:t>
      </w:r>
      <w:r>
        <w:rPr>
          <w:rFonts w:hint="eastAsia" w:ascii="仿宋_GB2312" w:hAnsi="Calibri" w:eastAsia="仿宋_GB2312" w:cs="宋体"/>
          <w:sz w:val="32"/>
          <w:szCs w:val="32"/>
        </w:rPr>
        <w:t>积极做好参政议政</w:t>
      </w:r>
      <w:r>
        <w:rPr>
          <w:rFonts w:hint="eastAsia" w:ascii="仿宋_GB2312" w:hAnsi="Calibri" w:eastAsia="仿宋_GB2312" w:cs="宋体"/>
          <w:sz w:val="32"/>
          <w:szCs w:val="32"/>
          <w:lang w:eastAsia="zh-CN"/>
        </w:rPr>
        <w:t>和调查研究工作</w:t>
      </w:r>
      <w:r>
        <w:rPr>
          <w:rFonts w:hint="eastAsia" w:ascii="仿宋_GB2312" w:hAnsi="Calibri" w:eastAsia="仿宋_GB2312" w:cs="宋体"/>
          <w:sz w:val="32"/>
          <w:szCs w:val="32"/>
        </w:rPr>
        <w:t>。及时向</w:t>
      </w:r>
      <w:r>
        <w:rPr>
          <w:rFonts w:hint="eastAsia" w:ascii="仿宋_GB2312" w:eastAsia="仿宋_GB2312" w:cs="宋体"/>
          <w:sz w:val="32"/>
          <w:szCs w:val="32"/>
          <w:lang w:eastAsia="zh-CN"/>
        </w:rPr>
        <w:t>市</w:t>
      </w:r>
      <w:r>
        <w:rPr>
          <w:rFonts w:hint="eastAsia" w:ascii="仿宋_GB2312" w:hAnsi="Calibri" w:eastAsia="仿宋_GB2312" w:cs="宋体"/>
          <w:sz w:val="32"/>
          <w:szCs w:val="32"/>
        </w:rPr>
        <w:t>政协会议提交提案及大会发言，为实现民营经济高质量发展建睿智之言、献务实之策。通过组织调研、座谈、培训等方式，积极引导</w:t>
      </w:r>
      <w:r>
        <w:rPr>
          <w:rFonts w:hint="eastAsia" w:ascii="仿宋_GB2312" w:hAnsi="仿宋_GB2312" w:eastAsia="仿宋_GB2312" w:cs="仿宋_GB2312"/>
          <w:color w:val="000000"/>
          <w:sz w:val="32"/>
          <w:szCs w:val="32"/>
          <w:lang w:eastAsia="zh-CN"/>
        </w:rPr>
        <w:t>市人大非公经济人士代表、市政协工商联界别委员</w:t>
      </w:r>
      <w:r>
        <w:rPr>
          <w:rFonts w:hint="eastAsia" w:ascii="仿宋_GB2312" w:hAnsi="Calibri" w:eastAsia="仿宋_GB2312" w:cs="宋体"/>
          <w:sz w:val="32"/>
          <w:szCs w:val="32"/>
        </w:rPr>
        <w:t>认真履职尽责，提升建言献策和参政议政水平。</w:t>
      </w:r>
      <w:r>
        <w:rPr>
          <w:rFonts w:hint="eastAsia" w:ascii="仿宋_GB2312" w:hAnsi="仿宋_GB2312" w:eastAsia="仿宋_GB2312" w:cs="仿宋_GB2312"/>
          <w:color w:val="000000"/>
          <w:sz w:val="32"/>
          <w:szCs w:val="32"/>
          <w:lang w:eastAsia="zh-CN"/>
        </w:rPr>
        <w:t>深入基层开展调查研究，形成有价值、高质量的调研成果。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Calibri" w:eastAsia="仿宋_GB2312" w:cs="宋体"/>
          <w:sz w:val="32"/>
          <w:szCs w:val="32"/>
          <w:lang w:val="en-US" w:eastAsia="zh-CN"/>
        </w:rPr>
        <w:t>6.充分运用《汉中市工商联常委轮流参与工商联工作制度》《汉中市工商联常委履职年度述职办法》，组</w:t>
      </w:r>
      <w:r>
        <w:rPr>
          <w:rFonts w:hint="eastAsia" w:ascii="仿宋_GB2312" w:hAnsi="仿宋_GB2312" w:eastAsia="仿宋_GB2312" w:cs="仿宋_GB2312"/>
          <w:color w:val="000000"/>
          <w:sz w:val="32"/>
          <w:szCs w:val="32"/>
          <w:lang w:val="en-US" w:eastAsia="zh-CN"/>
        </w:rPr>
        <w:t>织市工商联兼职常委、商会负责人及非公经济代表人士，参加好市委、市政府的各类情况通报会、座谈会、征求意见会和政治协商活动。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b w:val="0"/>
          <w:bCs w:val="0"/>
          <w:color w:val="000000"/>
          <w:sz w:val="32"/>
          <w:szCs w:val="32"/>
          <w:lang w:eastAsia="zh-CN"/>
        </w:rPr>
        <w:t>（三）</w:t>
      </w:r>
      <w:r>
        <w:rPr>
          <w:rFonts w:hint="eastAsia" w:ascii="黑体" w:hAnsi="黑体" w:eastAsia="黑体" w:cs="黑体"/>
          <w:sz w:val="32"/>
          <w:szCs w:val="32"/>
          <w:lang w:eastAsia="zh-CN"/>
        </w:rPr>
        <w:t>服务</w:t>
      </w:r>
      <w:r>
        <w:rPr>
          <w:rFonts w:hint="eastAsia" w:ascii="黑体" w:hAnsi="黑体" w:eastAsia="黑体" w:cs="黑体"/>
          <w:b w:val="0"/>
          <w:bCs w:val="0"/>
          <w:color w:val="000000"/>
          <w:sz w:val="32"/>
          <w:szCs w:val="32"/>
          <w:lang w:eastAsia="zh-CN"/>
        </w:rPr>
        <w:t>民营经济高质量发展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spacing w:val="0"/>
          <w:w w:val="100"/>
          <w:sz w:val="32"/>
          <w:szCs w:val="32"/>
          <w:lang w:val="en-US" w:eastAsia="zh-CN"/>
        </w:rPr>
      </w:pPr>
      <w:r>
        <w:rPr>
          <w:rFonts w:hint="eastAsia" w:ascii="仿宋_GB2312" w:hAnsi="仿宋_GB2312" w:eastAsia="仿宋_GB2312" w:cs="仿宋_GB2312"/>
          <w:b w:val="0"/>
          <w:i w:val="0"/>
          <w:spacing w:val="0"/>
          <w:w w:val="100"/>
          <w:sz w:val="32"/>
          <w:szCs w:val="32"/>
          <w:lang w:val="en-US" w:eastAsia="zh-CN"/>
        </w:rPr>
        <w:t>7.提升商会活力。把创新服务方式、提高服务水平、突显服务成效，列入商会组织领导班子建设的重要内容。通过经贸交流平台积极引导服务民营企业“走出去”，融入“一带一路”建设。</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spacing w:val="0"/>
          <w:w w:val="100"/>
          <w:sz w:val="32"/>
          <w:szCs w:val="32"/>
          <w:lang w:val="en-US" w:eastAsia="zh-CN"/>
        </w:rPr>
      </w:pPr>
      <w:r>
        <w:rPr>
          <w:rFonts w:hint="eastAsia" w:ascii="仿宋_GB2312" w:hAnsi="仿宋_GB2312" w:eastAsia="仿宋_GB2312" w:cs="仿宋_GB2312"/>
          <w:b w:val="0"/>
          <w:i w:val="0"/>
          <w:spacing w:val="0"/>
          <w:w w:val="100"/>
          <w:sz w:val="32"/>
          <w:szCs w:val="32"/>
          <w:lang w:val="en-US" w:eastAsia="zh-CN"/>
        </w:rPr>
        <w:t>8.加快推动对外联络工作上台阶。加强与异地汉中商会、外地汉人汉商联系，加强驻外地汉中商会建设，积极宣传汉中近年来发展成就和巨大变化，鼓励汉人汉商回归、投资兴业，推动我市非公经济健康发展。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spacing w:val="0"/>
          <w:w w:val="100"/>
          <w:sz w:val="32"/>
          <w:szCs w:val="32"/>
          <w:lang w:val="en-US" w:eastAsia="zh-CN"/>
        </w:rPr>
      </w:pPr>
      <w:r>
        <w:rPr>
          <w:rFonts w:hint="eastAsia" w:ascii="仿宋_GB2312" w:hAnsi="仿宋_GB2312" w:eastAsia="仿宋_GB2312" w:cs="仿宋_GB2312"/>
          <w:b w:val="0"/>
          <w:i w:val="0"/>
          <w:spacing w:val="0"/>
          <w:w w:val="100"/>
          <w:sz w:val="32"/>
          <w:szCs w:val="32"/>
          <w:lang w:val="en-US" w:eastAsia="zh-CN"/>
        </w:rPr>
        <w:t>9.提升“两个健康”。坚持“服务企业、活跃商会、优化环境”，持续落实政企会商制度。开展民营企业“百日大走访”活动，认真倾听、密切关注企业在融资、经营、市场准入等方面的实际需求，主动开展政策解读和思想引导，协调解决问题，帮助坚定发展信心，转型创新发展。配合召开全市民营经济统战工作会议。贯彻落实《关于加快构建亲清新型政商关系的实施意见》，不断优化营商环境。围绕“四个在汉中”重点工作，支持企业加快转型升级，积极为项目招商、重点项目建设牵线搭桥。</w:t>
      </w:r>
      <w:r>
        <w:rPr>
          <w:rFonts w:hint="eastAsia" w:ascii="仿宋_GB2312" w:hAnsi="仿宋_GB2312" w:eastAsia="仿宋_GB2312" w:cs="仿宋_GB2312"/>
          <w:b w:val="0"/>
          <w:i w:val="0"/>
          <w:spacing w:val="0"/>
          <w:w w:val="100"/>
          <w:sz w:val="32"/>
          <w:szCs w:val="32"/>
          <w:lang w:val="en" w:eastAsia="zh-CN"/>
        </w:rPr>
        <w:t>指导商会开展法律维权服务</w:t>
      </w:r>
      <w:r>
        <w:rPr>
          <w:rFonts w:hint="eastAsia" w:ascii="仿宋_GB2312" w:hAnsi="仿宋_GB2312" w:eastAsia="仿宋_GB2312" w:cs="仿宋_GB2312"/>
          <w:b w:val="0"/>
          <w:i w:val="0"/>
          <w:spacing w:val="0"/>
          <w:w w:val="100"/>
          <w:sz w:val="32"/>
          <w:szCs w:val="32"/>
          <w:lang w:val="en-US" w:eastAsia="zh-CN"/>
        </w:rPr>
        <w:t>，扎实做好民营企业法律咨询和维权服务工作</w:t>
      </w:r>
      <w:r>
        <w:rPr>
          <w:rFonts w:hint="eastAsia" w:ascii="仿宋_GB2312" w:hAnsi="仿宋_GB2312" w:eastAsia="仿宋_GB2312" w:cs="仿宋_GB2312"/>
          <w:b w:val="0"/>
          <w:i w:val="0"/>
          <w:spacing w:val="0"/>
          <w:w w:val="100"/>
          <w:sz w:val="32"/>
          <w:szCs w:val="32"/>
          <w:lang w:val="en" w:eastAsia="zh-CN"/>
        </w:rPr>
        <w:t>。</w:t>
      </w:r>
      <w:r>
        <w:rPr>
          <w:rFonts w:hint="eastAsia" w:ascii="仿宋_GB2312" w:hAnsi="仿宋_GB2312" w:eastAsia="仿宋_GB2312" w:cs="仿宋_GB2312"/>
          <w:b w:val="0"/>
          <w:i w:val="0"/>
          <w:spacing w:val="0"/>
          <w:w w:val="100"/>
          <w:sz w:val="32"/>
          <w:szCs w:val="32"/>
          <w:lang w:val="en-US" w:eastAsia="zh-CN"/>
        </w:rPr>
        <w:t>指导商会成立法律服务平台，开展法律服务，化解矛盾纠纷，维护会员合法权益。</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spacing w:val="0"/>
          <w:w w:val="100"/>
          <w:sz w:val="32"/>
          <w:szCs w:val="32"/>
          <w:lang w:val="en-US" w:eastAsia="zh-CN"/>
        </w:rPr>
      </w:pPr>
      <w:r>
        <w:rPr>
          <w:rFonts w:hint="eastAsia" w:ascii="仿宋_GB2312" w:hAnsi="仿宋_GB2312" w:eastAsia="仿宋_GB2312" w:cs="仿宋_GB2312"/>
          <w:b w:val="0"/>
          <w:i w:val="0"/>
          <w:spacing w:val="0"/>
          <w:w w:val="100"/>
          <w:sz w:val="32"/>
          <w:szCs w:val="32"/>
          <w:lang w:val="en-US" w:eastAsia="zh-CN"/>
        </w:rPr>
        <w:t>承办好市政府安排工作及有关职能部门委托事项，圆满完成市政府下达市工商联1500万元的招商引资目标任务。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b w:val="0"/>
          <w:bCs w:val="0"/>
          <w:color w:val="000000"/>
          <w:sz w:val="32"/>
          <w:szCs w:val="32"/>
          <w:lang w:eastAsia="zh-CN"/>
        </w:rPr>
        <w:t>（四）</w:t>
      </w:r>
      <w:r>
        <w:rPr>
          <w:rFonts w:hint="eastAsia" w:ascii="黑体" w:hAnsi="黑体" w:eastAsia="黑体" w:cs="黑体"/>
          <w:sz w:val="32"/>
          <w:szCs w:val="32"/>
        </w:rPr>
        <w:t>启动实施“万企兴万村”行动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启动实施“万企兴万村”行动。按照</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联和</w:t>
      </w:r>
      <w:r>
        <w:rPr>
          <w:rFonts w:hint="eastAsia" w:ascii="仿宋_GB2312" w:hAnsi="仿宋_GB2312" w:eastAsia="仿宋_GB2312" w:cs="仿宋_GB2312"/>
          <w:sz w:val="32"/>
          <w:szCs w:val="32"/>
          <w:lang w:eastAsia="zh-CN"/>
        </w:rPr>
        <w:t>市委、市政府</w:t>
      </w:r>
      <w:r>
        <w:rPr>
          <w:rFonts w:hint="eastAsia" w:ascii="仿宋_GB2312" w:hAnsi="仿宋_GB2312" w:eastAsia="仿宋_GB2312" w:cs="仿宋_GB2312"/>
          <w:sz w:val="32"/>
          <w:szCs w:val="32"/>
        </w:rPr>
        <w:t>的统一安排部署，结合我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际制定“万企兴万村”行动总体方案和年度计划，广泛动员民营企业参与巩固拓展脱贫攻坚成果和乡村振兴，实现脱贫攻坚与乡村振兴有效衔接、有序推进，积极探索民营企业参与乡村振兴的新模式。持续推进消费帮扶工作，巩固脱贫攻坚成果，拓宽增收渠道、建立长效帮扶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color w:val="000000"/>
          <w:sz w:val="32"/>
          <w:szCs w:val="32"/>
          <w:lang w:val="en-US" w:eastAsia="zh-CN"/>
        </w:rPr>
        <w:t>同时，继续发挥驻村工作牵头部门作用，按要求持续巩固拓展脱贫攻坚成果，做好乡村振兴等工作。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000000"/>
          <w:sz w:val="32"/>
          <w:szCs w:val="32"/>
        </w:rPr>
      </w:pPr>
      <w:r>
        <w:rPr>
          <w:rFonts w:hint="eastAsia" w:ascii="黑体" w:hAnsi="黑体" w:eastAsia="黑体" w:cs="宋体"/>
          <w:color w:val="000000"/>
          <w:sz w:val="32"/>
          <w:szCs w:val="32"/>
          <w:lang w:eastAsia="zh-CN"/>
        </w:rPr>
        <w:t>（五）全面</w:t>
      </w:r>
      <w:r>
        <w:rPr>
          <w:rFonts w:hint="eastAsia" w:ascii="黑体" w:hAnsi="黑体" w:eastAsia="黑体" w:cs="宋体"/>
          <w:color w:val="000000"/>
          <w:sz w:val="32"/>
          <w:szCs w:val="32"/>
        </w:rPr>
        <w:t>加强</w:t>
      </w:r>
      <w:r>
        <w:rPr>
          <w:rFonts w:hint="eastAsia" w:ascii="黑体" w:hAnsi="黑体" w:eastAsia="黑体" w:cs="宋体"/>
          <w:color w:val="000000"/>
          <w:sz w:val="32"/>
          <w:szCs w:val="32"/>
          <w:lang w:eastAsia="zh-CN"/>
        </w:rPr>
        <w:t>工商联组织和机关</w:t>
      </w:r>
      <w:r>
        <w:rPr>
          <w:rFonts w:hint="eastAsia" w:ascii="黑体" w:hAnsi="黑体" w:eastAsia="黑体" w:cs="宋体"/>
          <w:color w:val="000000"/>
          <w:sz w:val="32"/>
          <w:szCs w:val="32"/>
        </w:rPr>
        <w:t>建设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lang w:eastAsia="zh-CN"/>
        </w:rPr>
        <w:t>推动</w:t>
      </w:r>
      <w:r>
        <w:rPr>
          <w:rFonts w:hint="eastAsia" w:ascii="仿宋_GB2312" w:hAnsi="仿宋" w:eastAsia="仿宋_GB2312"/>
          <w:sz w:val="32"/>
          <w:szCs w:val="32"/>
        </w:rPr>
        <w:t>工商联所属商会改革任务。</w:t>
      </w:r>
      <w:r>
        <w:rPr>
          <w:rFonts w:hint="eastAsia" w:ascii="仿宋_GB2312" w:hAnsi="仿宋" w:eastAsia="仿宋_GB2312"/>
          <w:sz w:val="32"/>
          <w:szCs w:val="32"/>
          <w:lang w:eastAsia="zh-CN"/>
        </w:rPr>
        <w:t>贯彻落实省委文件精神，推进商会组织深化改革，推动商会规范化运作、高质量发展。</w:t>
      </w:r>
      <w:r>
        <w:rPr>
          <w:rFonts w:hint="eastAsia" w:ascii="仿宋_GB2312" w:hAnsi="仿宋" w:eastAsia="仿宋_GB2312"/>
          <w:sz w:val="32"/>
          <w:szCs w:val="32"/>
        </w:rPr>
        <w:t>持续推动统战工作向商会组织有效覆盖。加强对商协会的联系、指导和服务，积极培育和发展新商会，扩大工商联工作视野和范围。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加强</w:t>
      </w:r>
      <w:r>
        <w:rPr>
          <w:rFonts w:hint="eastAsia" w:ascii="仿宋_GB2312" w:hAnsi="仿宋" w:eastAsia="仿宋_GB2312"/>
          <w:sz w:val="32"/>
          <w:szCs w:val="32"/>
          <w:lang w:eastAsia="zh-CN"/>
        </w:rPr>
        <w:t>工商联基层组织和队伍建设。</w:t>
      </w:r>
      <w:r>
        <w:rPr>
          <w:rFonts w:hint="eastAsia" w:ascii="仿宋_GB2312" w:hAnsi="仿宋" w:eastAsia="仿宋_GB2312"/>
          <w:sz w:val="32"/>
          <w:szCs w:val="32"/>
          <w:lang w:val="en-US" w:eastAsia="zh-CN"/>
        </w:rPr>
        <w:t>全面推进“四好商会”创建，以市</w:t>
      </w:r>
      <w:r>
        <w:rPr>
          <w:rFonts w:hint="eastAsia" w:ascii="仿宋_GB2312" w:hAnsi="仿宋" w:eastAsia="仿宋_GB2312"/>
          <w:sz w:val="32"/>
          <w:szCs w:val="32"/>
        </w:rPr>
        <w:t>福建商会</w:t>
      </w:r>
      <w:r>
        <w:rPr>
          <w:rFonts w:hint="eastAsia" w:ascii="仿宋_GB2312" w:hAnsi="仿宋" w:eastAsia="仿宋_GB2312"/>
          <w:sz w:val="32"/>
          <w:szCs w:val="32"/>
          <w:lang w:eastAsia="zh-CN"/>
        </w:rPr>
        <w:t>和市温州商会为成功示范，</w:t>
      </w:r>
      <w:r>
        <w:rPr>
          <w:rFonts w:hint="eastAsia" w:ascii="仿宋_GB2312" w:hAnsi="仿宋" w:eastAsia="仿宋_GB2312"/>
          <w:sz w:val="32"/>
          <w:szCs w:val="32"/>
          <w:lang w:val="en-US" w:eastAsia="zh-CN"/>
        </w:rPr>
        <w:t>配合全国工商联、省工商联认定，促进</w:t>
      </w:r>
      <w:r>
        <w:rPr>
          <w:rFonts w:hint="eastAsia" w:ascii="仿宋_GB2312" w:hAnsi="仿宋" w:eastAsia="仿宋_GB2312"/>
          <w:sz w:val="32"/>
          <w:szCs w:val="32"/>
        </w:rPr>
        <w:t>江西商会、</w:t>
      </w:r>
      <w:r>
        <w:rPr>
          <w:rFonts w:hint="eastAsia" w:ascii="仿宋_GB2312" w:hAnsi="仿宋" w:eastAsia="仿宋_GB2312"/>
          <w:sz w:val="32"/>
          <w:szCs w:val="32"/>
          <w:lang w:eastAsia="zh-CN"/>
        </w:rPr>
        <w:t>浙江商会、</w:t>
      </w:r>
      <w:r>
        <w:rPr>
          <w:rFonts w:hint="eastAsia" w:ascii="仿宋_GB2312" w:hAnsi="仿宋" w:eastAsia="仿宋_GB2312"/>
          <w:sz w:val="32"/>
          <w:szCs w:val="32"/>
        </w:rPr>
        <w:t>安康商会</w:t>
      </w:r>
      <w:r>
        <w:rPr>
          <w:rFonts w:hint="eastAsia" w:ascii="仿宋_GB2312" w:hAnsi="仿宋" w:eastAsia="仿宋_GB2312"/>
          <w:sz w:val="32"/>
          <w:szCs w:val="32"/>
          <w:lang w:eastAsia="zh-CN"/>
        </w:rPr>
        <w:t>、</w:t>
      </w:r>
      <w:r>
        <w:rPr>
          <w:rFonts w:hint="eastAsia" w:ascii="仿宋_GB2312" w:hAnsi="仿宋" w:eastAsia="仿宋_GB2312"/>
          <w:sz w:val="32"/>
          <w:szCs w:val="32"/>
        </w:rPr>
        <w:t>西安商会</w:t>
      </w:r>
      <w:r>
        <w:rPr>
          <w:rFonts w:hint="eastAsia" w:ascii="仿宋_GB2312" w:hAnsi="仿宋" w:eastAsia="仿宋_GB2312"/>
          <w:sz w:val="32"/>
          <w:szCs w:val="32"/>
          <w:lang w:val="en-US" w:eastAsia="zh-CN"/>
        </w:rPr>
        <w:t>“四好商会”</w:t>
      </w:r>
      <w:r>
        <w:rPr>
          <w:rFonts w:hint="eastAsia" w:ascii="仿宋_GB2312" w:hAnsi="仿宋" w:eastAsia="仿宋_GB2312"/>
          <w:sz w:val="32"/>
          <w:szCs w:val="32"/>
          <w:lang w:eastAsia="zh-CN"/>
        </w:rPr>
        <w:t>创建工作成效提升</w:t>
      </w:r>
      <w:r>
        <w:rPr>
          <w:rFonts w:hint="eastAsia" w:ascii="仿宋_GB2312" w:hAnsi="仿宋" w:eastAsia="仿宋_GB2312"/>
          <w:sz w:val="32"/>
          <w:szCs w:val="32"/>
          <w:lang w:val="en-US" w:eastAsia="zh-CN"/>
        </w:rPr>
        <w:t>。以县区工商联和直属商会班子成员为重点，抓好会员数据库录入工作。</w:t>
      </w:r>
      <w:r>
        <w:rPr>
          <w:rFonts w:hint="eastAsia" w:ascii="仿宋_GB2312" w:hAnsi="仿宋" w:eastAsia="仿宋_GB2312"/>
          <w:sz w:val="32"/>
          <w:szCs w:val="32"/>
        </w:rPr>
        <w:t>继续做好“五好”县级工商联建设，推动“一个设立五个有”指标落实，配合</w:t>
      </w:r>
      <w:r>
        <w:rPr>
          <w:rFonts w:hint="eastAsia" w:ascii="仿宋_GB2312" w:hAnsi="仿宋" w:eastAsia="仿宋_GB2312"/>
          <w:sz w:val="32"/>
          <w:szCs w:val="32"/>
          <w:lang w:eastAsia="zh-CN"/>
        </w:rPr>
        <w:t>党</w:t>
      </w:r>
      <w:r>
        <w:rPr>
          <w:rFonts w:hint="eastAsia" w:ascii="仿宋_GB2312" w:hAnsi="仿宋" w:eastAsia="仿宋_GB2312"/>
          <w:sz w:val="32"/>
          <w:szCs w:val="32"/>
        </w:rPr>
        <w:t>委统战部做好工商联换届</w:t>
      </w:r>
      <w:r>
        <w:rPr>
          <w:rFonts w:hint="eastAsia" w:ascii="仿宋_GB2312" w:hAnsi="仿宋" w:eastAsia="仿宋_GB2312"/>
          <w:sz w:val="32"/>
          <w:szCs w:val="32"/>
          <w:lang w:eastAsia="zh-CN"/>
        </w:rPr>
        <w:t>工作</w:t>
      </w:r>
      <w:r>
        <w:rPr>
          <w:rFonts w:hint="eastAsia" w:ascii="仿宋_GB2312" w:hAnsi="仿宋"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宋体"/>
          <w:sz w:val="32"/>
          <w:szCs w:val="32"/>
          <w:lang w:eastAsia="zh-CN"/>
        </w:rPr>
      </w:pPr>
      <w:r>
        <w:rPr>
          <w:rFonts w:hint="eastAsia" w:ascii="仿宋_GB2312" w:hAnsi="仿宋" w:eastAsia="仿宋_GB2312"/>
          <w:sz w:val="32"/>
          <w:szCs w:val="32"/>
          <w:lang w:val="en-US" w:eastAsia="zh-CN"/>
        </w:rPr>
        <w:t>13.提升机关自身建设水平。落实市工商联党组理论学习、职责分工、议事规则等制度，召开党风廉政工作会，发挥市工商联党组领导核心作用。</w:t>
      </w:r>
      <w:r>
        <w:rPr>
          <w:rFonts w:hint="eastAsia" w:ascii="仿宋_GB2312" w:hAnsi="仿宋" w:eastAsia="仿宋_GB2312"/>
          <w:sz w:val="32"/>
          <w:szCs w:val="32"/>
          <w:lang w:eastAsia="zh-CN"/>
        </w:rPr>
        <w:t>认真开展</w:t>
      </w:r>
      <w:r>
        <w:rPr>
          <w:rFonts w:hint="eastAsia" w:ascii="仿宋_GB2312" w:hAnsi="仿宋" w:eastAsia="仿宋_GB2312"/>
          <w:sz w:val="32"/>
          <w:szCs w:val="32"/>
        </w:rPr>
        <w:t>“明责、践诺、结果”主题作风整训</w:t>
      </w:r>
      <w:r>
        <w:rPr>
          <w:rFonts w:hint="eastAsia" w:ascii="仿宋_GB2312" w:hAnsi="仿宋" w:eastAsia="仿宋_GB2312"/>
          <w:sz w:val="32"/>
          <w:szCs w:val="32"/>
          <w:lang w:eastAsia="zh-CN"/>
        </w:rPr>
        <w:t>、</w:t>
      </w:r>
      <w:r>
        <w:rPr>
          <w:rFonts w:hint="eastAsia" w:ascii="仿宋_GB2312" w:hAnsi="仿宋" w:eastAsia="仿宋_GB2312"/>
          <w:sz w:val="32"/>
          <w:szCs w:val="32"/>
        </w:rPr>
        <w:t>“三会一课”、民主生活会、“主题党日+”</w:t>
      </w:r>
      <w:r>
        <w:rPr>
          <w:rFonts w:hint="eastAsia" w:ascii="仿宋_GB2312" w:hAnsi="仿宋" w:eastAsia="仿宋_GB2312"/>
          <w:sz w:val="32"/>
          <w:szCs w:val="32"/>
          <w:lang w:eastAsia="zh-CN"/>
        </w:rPr>
        <w:t>、组织生活会</w:t>
      </w:r>
      <w:r>
        <w:rPr>
          <w:rFonts w:hint="eastAsia" w:ascii="仿宋_GB2312" w:hAnsi="仿宋" w:eastAsia="仿宋_GB2312"/>
          <w:sz w:val="32"/>
          <w:szCs w:val="32"/>
        </w:rPr>
        <w:t>等活动。充分发挥“三项机制”作用，注重加强干部队伍建设和作风建设，把机关干部培养</w:t>
      </w:r>
      <w:r>
        <w:rPr>
          <w:rFonts w:hint="eastAsia" w:ascii="仿宋_GB2312" w:hAnsi="仿宋" w:eastAsia="仿宋_GB2312"/>
          <w:sz w:val="32"/>
          <w:szCs w:val="32"/>
          <w:lang w:eastAsia="zh-CN"/>
        </w:rPr>
        <w:t>成</w:t>
      </w:r>
      <w:r>
        <w:rPr>
          <w:rFonts w:hint="eastAsia" w:ascii="仿宋_GB2312" w:hAnsi="仿宋" w:eastAsia="仿宋_GB2312"/>
          <w:sz w:val="32"/>
          <w:szCs w:val="32"/>
        </w:rPr>
        <w:t>为服务“两个健康”的行家里</w:t>
      </w:r>
      <w:r>
        <w:rPr>
          <w:rFonts w:hint="eastAsia" w:ascii="仿宋_GB2312" w:hAnsi="仿宋_GB2312" w:eastAsia="仿宋_GB2312" w:cs="仿宋_GB2312"/>
          <w:sz w:val="32"/>
          <w:szCs w:val="32"/>
        </w:rPr>
        <w:t>手</w:t>
      </w:r>
      <w:r>
        <w:rPr>
          <w:rFonts w:hint="eastAsia" w:ascii="仿宋_GB2312" w:hAnsi="Calibri" w:eastAsia="仿宋_GB2312" w:cs="宋体"/>
          <w:sz w:val="32"/>
          <w:szCs w:val="32"/>
        </w:rPr>
        <w:t>。</w:t>
      </w:r>
      <w:r>
        <w:rPr>
          <w:rFonts w:hint="eastAsia" w:ascii="仿宋_GB2312" w:eastAsia="仿宋_GB2312" w:cs="宋体"/>
          <w:sz w:val="32"/>
          <w:szCs w:val="32"/>
          <w:lang w:eastAsia="zh-CN"/>
        </w:rPr>
        <w:t>强化机关制度建设，提升工作规范、科学化水平。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lang w:val="en-US" w:eastAsia="zh-CN"/>
        </w:rPr>
        <w:t>同时，继续实施市工商联党组成员联系商会党支部制度，</w:t>
      </w:r>
      <w:r>
        <w:rPr>
          <w:rFonts w:hint="eastAsia" w:ascii="仿宋_GB2312" w:hAnsi="仿宋_GB2312" w:eastAsia="仿宋_GB2312" w:cs="仿宋_GB2312"/>
          <w:color w:val="000000"/>
          <w:sz w:val="32"/>
          <w:szCs w:val="32"/>
          <w:lang w:eastAsia="zh-CN"/>
        </w:rPr>
        <w:t>配合做好</w:t>
      </w:r>
      <w:r>
        <w:rPr>
          <w:rFonts w:hint="eastAsia" w:ascii="仿宋_GB2312" w:hAnsi="仿宋_GB2312" w:eastAsia="仿宋_GB2312" w:cs="仿宋_GB2312"/>
          <w:color w:val="000000"/>
          <w:sz w:val="32"/>
          <w:szCs w:val="32"/>
        </w:rPr>
        <w:t>商会</w:t>
      </w:r>
      <w:r>
        <w:rPr>
          <w:rFonts w:hint="eastAsia" w:ascii="仿宋_GB2312" w:hAnsi="仿宋_GB2312" w:eastAsia="仿宋_GB2312" w:cs="仿宋_GB2312"/>
          <w:color w:val="000000"/>
          <w:sz w:val="32"/>
          <w:szCs w:val="32"/>
          <w:lang w:eastAsia="zh-CN"/>
        </w:rPr>
        <w:t>组织及非公经济党建</w:t>
      </w:r>
      <w:r>
        <w:rPr>
          <w:rFonts w:hint="eastAsia"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lang w:eastAsia="zh-CN"/>
        </w:rPr>
        <w:t>。</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三、部门预算单位构成</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从预算单位构成看，本部门的部门预算包括市工商联本</w:t>
      </w:r>
      <w:r>
        <w:rPr>
          <w:rFonts w:hint="eastAsia" w:ascii="仿宋" w:hAnsi="仿宋" w:eastAsia="仿宋" w:cs="仿宋"/>
          <w:color w:val="000000"/>
          <w:kern w:val="0"/>
          <w:sz w:val="31"/>
          <w:szCs w:val="31"/>
          <w:lang w:val="en-US" w:eastAsia="zh-CN" w:bidi="ar"/>
        </w:rPr>
        <w:t xml:space="preserve">级（机关）预算。 </w:t>
      </w:r>
    </w:p>
    <w:p>
      <w:pPr>
        <w:keepNext w:val="0"/>
        <w:keepLines w:val="0"/>
        <w:widowControl/>
        <w:suppressLineNumbers w:val="0"/>
        <w:ind w:firstLine="620" w:firstLineChars="200"/>
        <w:jc w:val="left"/>
        <w:rPr>
          <w:rFonts w:hint="eastAsia" w:ascii="仿宋_GB2312" w:hAnsi="仿宋_GB2312" w:eastAsia="仿宋_GB2312" w:cs="仿宋_GB2312"/>
          <w:sz w:val="32"/>
          <w:szCs w:val="32"/>
          <w:highlight w:val="none"/>
          <w:lang w:val="en-US" w:eastAsia="zh-CN"/>
        </w:rPr>
      </w:pPr>
      <w:r>
        <w:rPr>
          <w:rFonts w:hint="eastAsia" w:ascii="仿宋" w:hAnsi="仿宋" w:eastAsia="仿宋" w:cs="仿宋"/>
          <w:color w:val="000000"/>
          <w:kern w:val="0"/>
          <w:sz w:val="31"/>
          <w:szCs w:val="31"/>
          <w:lang w:val="en-US" w:eastAsia="zh-CN" w:bidi="ar"/>
        </w:rPr>
        <w:t>纳入本部门 2021年部门预算编制范围的二级预算单位共有0个。</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491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序号</w:t>
            </w:r>
          </w:p>
        </w:tc>
        <w:tc>
          <w:tcPr>
            <w:tcW w:w="4912"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单位名称</w:t>
            </w:r>
          </w:p>
        </w:tc>
        <w:tc>
          <w:tcPr>
            <w:tcW w:w="2011"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1</w:t>
            </w:r>
          </w:p>
        </w:tc>
        <w:tc>
          <w:tcPr>
            <w:tcW w:w="4912" w:type="dxa"/>
            <w:vAlign w:val="top"/>
          </w:tcPr>
          <w:p>
            <w:pP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汉中市工商业联合会本级(机关)</w:t>
            </w:r>
          </w:p>
        </w:tc>
        <w:tc>
          <w:tcPr>
            <w:tcW w:w="2011" w:type="dxa"/>
            <w:vAlign w:val="center"/>
          </w:tcPr>
          <w:p>
            <w:pPr>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无</w:t>
            </w:r>
          </w:p>
        </w:tc>
      </w:tr>
    </w:tbl>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四、部门人员情况说明</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截止 20</w:t>
      </w:r>
      <w:r>
        <w:rPr>
          <w:rFonts w:hint="eastAsia" w:ascii="仿宋" w:hAnsi="仿宋" w:eastAsia="仿宋" w:cs="仿宋"/>
          <w:color w:val="000000"/>
          <w:kern w:val="0"/>
          <w:sz w:val="31"/>
          <w:szCs w:val="31"/>
          <w:lang w:val="en-US" w:eastAsia="zh-CN" w:bidi="ar"/>
        </w:rPr>
        <w:t>20</w:t>
      </w:r>
      <w:r>
        <w:rPr>
          <w:rFonts w:ascii="仿宋" w:hAnsi="仿宋" w:eastAsia="仿宋" w:cs="仿宋"/>
          <w:color w:val="000000"/>
          <w:kern w:val="0"/>
          <w:sz w:val="31"/>
          <w:szCs w:val="31"/>
          <w:lang w:val="en-US" w:eastAsia="zh-CN" w:bidi="ar"/>
        </w:rPr>
        <w:t xml:space="preserve"> 年底，本部门人员编制 8 人，其中行政编制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8 人、工勤编制 0 人；实有人员 15 人，其中行政 10 人，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工勤 1 人，单位管理的退休人员 4 人。</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drawing>
          <wp:inline distT="0" distB="0" distL="114300" distR="114300">
            <wp:extent cx="5203190" cy="3743325"/>
            <wp:effectExtent l="5080" t="4445" r="1143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640"/>
        <w:rPr>
          <w:rFonts w:hint="eastAsia" w:ascii="仿宋_GB2312" w:hAnsi="仿宋_GB2312" w:eastAsia="仿宋_GB2312" w:cs="仿宋_GB2312"/>
          <w:sz w:val="32"/>
          <w:szCs w:val="32"/>
          <w:highlight w:val="none"/>
          <w:lang w:eastAsia="zh-CN"/>
        </w:rPr>
      </w:pPr>
    </w:p>
    <w:p>
      <w:pPr>
        <w:jc w:val="cente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第二部分</w:t>
      </w:r>
      <w:r>
        <w:rPr>
          <w:rFonts w:hint="eastAsia" w:ascii="仿宋_GB2312" w:hAnsi="仿宋_GB2312" w:eastAsia="仿宋_GB2312" w:cs="仿宋_GB2312"/>
          <w:b/>
          <w:bCs/>
          <w:sz w:val="32"/>
          <w:szCs w:val="32"/>
          <w:highlight w:val="none"/>
          <w:lang w:val="en-US" w:eastAsia="zh-CN"/>
        </w:rPr>
        <w:t xml:space="preserve">  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202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年部门预算收支说明</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收支预算总体情况。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按照综合预算的原则，本部门所有收入和支出均纳入部门预算管理。</w:t>
      </w:r>
      <w:r>
        <w:rPr>
          <w:rFonts w:hint="eastAsia" w:ascii="仿宋_GB2312" w:hAnsi="仿宋_GB2312" w:eastAsia="仿宋_GB2312" w:cs="仿宋_GB2312"/>
          <w:sz w:val="32"/>
          <w:szCs w:val="32"/>
          <w:highlight w:val="none"/>
          <w:lang w:val="en-US" w:eastAsia="zh-CN"/>
        </w:rPr>
        <w:t>2021年本部门预算收入191.59万元，其中一般公共预算拨款收入190.50万元、上年结转1.09万元、政府性基金拨款收入0万元，2021年本部门预算收入较上年增加24.91万元，增长14.9%，主要原因是2020年在编实有人数增加2人（1名县级领导干部，1名军转干部），导致2021年工资福利预算收入增加；2021年本部门预算支出191.59万元，其中一般公共预算拨款支出190.5万元、政府性基金拨款支出0万元，2021年本部门预算支出较上年增加24.91万元，增长14.9%，主要原因是2020年在编实有人数增加2人（1名县级领导干部，1名军转干部），导致2021年工资福利预算支出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（二）财政拨款收支情况。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年本部门财政拨款收入</w:t>
      </w:r>
      <w:r>
        <w:rPr>
          <w:rFonts w:hint="eastAsia" w:ascii="仿宋_GB2312" w:hAnsi="仿宋_GB2312" w:eastAsia="仿宋_GB2312" w:cs="仿宋_GB2312"/>
          <w:sz w:val="32"/>
          <w:szCs w:val="32"/>
          <w:highlight w:val="none"/>
          <w:lang w:val="en-US" w:eastAsia="zh-CN"/>
        </w:rPr>
        <w:t>191.59</w:t>
      </w:r>
      <w:r>
        <w:rPr>
          <w:rFonts w:hint="eastAsia" w:ascii="仿宋_GB2312" w:hAnsi="仿宋_GB2312" w:eastAsia="仿宋_GB2312" w:cs="仿宋_GB2312"/>
          <w:sz w:val="32"/>
          <w:szCs w:val="32"/>
          <w:highlight w:val="none"/>
          <w:lang w:eastAsia="zh-CN"/>
        </w:rPr>
        <w:t>万元，其中一般公共预算拨款收入</w:t>
      </w:r>
      <w:r>
        <w:rPr>
          <w:rFonts w:hint="eastAsia" w:ascii="仿宋_GB2312" w:hAnsi="仿宋_GB2312" w:eastAsia="仿宋_GB2312" w:cs="仿宋_GB2312"/>
          <w:sz w:val="32"/>
          <w:szCs w:val="32"/>
          <w:highlight w:val="none"/>
          <w:lang w:val="en-US" w:eastAsia="zh-CN"/>
        </w:rPr>
        <w:t>190.50</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上年结转1.09万元、</w:t>
      </w:r>
      <w:r>
        <w:rPr>
          <w:rFonts w:hint="eastAsia" w:ascii="仿宋_GB2312" w:hAnsi="仿宋_GB2312" w:eastAsia="仿宋_GB2312" w:cs="仿宋_GB2312"/>
          <w:sz w:val="32"/>
          <w:szCs w:val="32"/>
          <w:highlight w:val="none"/>
          <w:lang w:eastAsia="zh-CN"/>
        </w:rPr>
        <w:t>政府性基金拨款收入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年本部门财政拨款收入较上年增加</w:t>
      </w:r>
      <w:r>
        <w:rPr>
          <w:rFonts w:hint="eastAsia" w:ascii="仿宋_GB2312" w:hAnsi="仿宋_GB2312" w:eastAsia="仿宋_GB2312" w:cs="仿宋_GB2312"/>
          <w:sz w:val="32"/>
          <w:szCs w:val="32"/>
          <w:highlight w:val="none"/>
          <w:lang w:val="en-US" w:eastAsia="zh-CN"/>
        </w:rPr>
        <w:t>24.91</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增长14.9%，</w:t>
      </w:r>
      <w:r>
        <w:rPr>
          <w:rFonts w:hint="eastAsia" w:ascii="仿宋_GB2312" w:hAnsi="仿宋_GB2312" w:eastAsia="仿宋_GB2312" w:cs="仿宋_GB2312"/>
          <w:sz w:val="32"/>
          <w:szCs w:val="32"/>
          <w:highlight w:val="none"/>
          <w:lang w:eastAsia="zh-CN"/>
        </w:rPr>
        <w:t>主要原因是</w:t>
      </w:r>
      <w:r>
        <w:rPr>
          <w:rFonts w:hint="eastAsia" w:ascii="仿宋_GB2312" w:hAnsi="仿宋_GB2312" w:eastAsia="仿宋_GB2312" w:cs="仿宋_GB2312"/>
          <w:sz w:val="32"/>
          <w:szCs w:val="32"/>
          <w:highlight w:val="none"/>
          <w:lang w:val="en-US" w:eastAsia="zh-CN"/>
        </w:rPr>
        <w:t>2020年在编实有人数增加2人（1名县级领导干部，1名军转干部），导致2021年工资福利预算收入增加</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年本部门财政拨款支出</w:t>
      </w:r>
      <w:r>
        <w:rPr>
          <w:rFonts w:hint="eastAsia" w:ascii="仿宋_GB2312" w:hAnsi="仿宋_GB2312" w:eastAsia="仿宋_GB2312" w:cs="仿宋_GB2312"/>
          <w:sz w:val="32"/>
          <w:szCs w:val="32"/>
          <w:highlight w:val="none"/>
          <w:lang w:val="en-US" w:eastAsia="zh-CN"/>
        </w:rPr>
        <w:t>190.50</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上年结转1.09万元、</w:t>
      </w:r>
      <w:r>
        <w:rPr>
          <w:rFonts w:hint="eastAsia" w:ascii="仿宋_GB2312" w:hAnsi="仿宋_GB2312" w:eastAsia="仿宋_GB2312" w:cs="仿宋_GB2312"/>
          <w:sz w:val="32"/>
          <w:szCs w:val="32"/>
          <w:highlight w:val="none"/>
          <w:lang w:eastAsia="zh-CN"/>
        </w:rPr>
        <w:t>政府性基金拨款支出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年本部门财政拨款支出较上年增加</w:t>
      </w:r>
      <w:r>
        <w:rPr>
          <w:rFonts w:hint="eastAsia" w:ascii="仿宋_GB2312" w:hAnsi="仿宋_GB2312" w:eastAsia="仿宋_GB2312" w:cs="仿宋_GB2312"/>
          <w:sz w:val="32"/>
          <w:szCs w:val="32"/>
          <w:highlight w:val="none"/>
          <w:lang w:val="en-US" w:eastAsia="zh-CN"/>
        </w:rPr>
        <w:t>24.91</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增长14.9%，</w:t>
      </w:r>
      <w:r>
        <w:rPr>
          <w:rFonts w:hint="eastAsia" w:ascii="仿宋_GB2312" w:hAnsi="仿宋_GB2312" w:eastAsia="仿宋_GB2312" w:cs="仿宋_GB2312"/>
          <w:sz w:val="32"/>
          <w:szCs w:val="32"/>
          <w:highlight w:val="none"/>
          <w:lang w:eastAsia="zh-CN"/>
        </w:rPr>
        <w:t>主要原因是</w:t>
      </w:r>
      <w:r>
        <w:rPr>
          <w:rFonts w:hint="eastAsia" w:ascii="仿宋_GB2312" w:hAnsi="仿宋_GB2312" w:eastAsia="仿宋_GB2312" w:cs="仿宋_GB2312"/>
          <w:sz w:val="32"/>
          <w:szCs w:val="32"/>
          <w:highlight w:val="none"/>
          <w:lang w:val="en-US" w:eastAsia="zh-CN"/>
        </w:rPr>
        <w:t>2020年在编实有人数增加2人（1名县级领导干部，1名军转干部），导致2021年工资福利预算支出增加</w:t>
      </w:r>
      <w:r>
        <w:rPr>
          <w:rFonts w:hint="eastAsia" w:ascii="仿宋_GB2312" w:hAnsi="仿宋_GB2312" w:eastAsia="仿宋_GB2312" w:cs="仿宋_GB2312"/>
          <w:sz w:val="32"/>
          <w:szCs w:val="32"/>
          <w:highlight w:val="none"/>
          <w:lang w:eastAsia="zh-CN"/>
        </w:rPr>
        <w:t>。</w:t>
      </w:r>
      <w:bookmarkStart w:id="0" w:name="_GoBack"/>
      <w:bookmarkEnd w:id="0"/>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（三）一般</w:t>
      </w:r>
      <w:r>
        <w:rPr>
          <w:rFonts w:hint="eastAsia" w:ascii="仿宋_GB2312" w:hAnsi="仿宋_GB2312" w:eastAsia="仿宋_GB2312" w:cs="仿宋_GB2312"/>
          <w:b/>
          <w:bCs/>
          <w:sz w:val="32"/>
          <w:szCs w:val="32"/>
          <w:highlight w:val="none"/>
        </w:rPr>
        <w:t>公共预算拨款支出明细情况。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公共预算</w:t>
      </w:r>
      <w:r>
        <w:rPr>
          <w:rFonts w:hint="eastAsia" w:ascii="仿宋_GB2312" w:hAnsi="仿宋_GB2312" w:eastAsia="仿宋_GB2312" w:cs="仿宋_GB2312"/>
          <w:sz w:val="32"/>
          <w:szCs w:val="32"/>
          <w:highlight w:val="none"/>
          <w:lang w:eastAsia="zh-CN"/>
        </w:rPr>
        <w:t>当年拨款规模变化情况。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年本部门当年一般公共预算拨款支出</w:t>
      </w:r>
      <w:r>
        <w:rPr>
          <w:rFonts w:hint="eastAsia" w:ascii="仿宋_GB2312" w:hAnsi="仿宋_GB2312" w:eastAsia="仿宋_GB2312" w:cs="仿宋_GB2312"/>
          <w:sz w:val="32"/>
          <w:szCs w:val="32"/>
          <w:highlight w:val="none"/>
          <w:lang w:val="en-US" w:eastAsia="zh-CN"/>
        </w:rPr>
        <w:t>190.5</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28.55</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增长17.6%，</w:t>
      </w:r>
      <w:r>
        <w:rPr>
          <w:rFonts w:hint="eastAsia" w:ascii="仿宋_GB2312" w:hAnsi="仿宋_GB2312" w:eastAsia="仿宋_GB2312" w:cs="仿宋_GB2312"/>
          <w:sz w:val="32"/>
          <w:szCs w:val="32"/>
          <w:highlight w:val="none"/>
          <w:lang w:eastAsia="zh-CN"/>
        </w:rPr>
        <w:t>主要原因是</w:t>
      </w:r>
      <w:r>
        <w:rPr>
          <w:rFonts w:hint="eastAsia" w:ascii="仿宋_GB2312" w:hAnsi="仿宋_GB2312" w:eastAsia="仿宋_GB2312" w:cs="仿宋_GB2312"/>
          <w:sz w:val="32"/>
          <w:szCs w:val="32"/>
          <w:highlight w:val="none"/>
          <w:lang w:val="en-US" w:eastAsia="zh-CN"/>
        </w:rPr>
        <w:t>2020年在编实有人数增加2人（1名县级领导干部，1名军转干部），导致2021年工资福利预算支出增加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2、支出按功能科目分类的明细情况。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当年一般公共预算支出190.50万元，其中：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2010601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158.49万元，较上年增加43</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增长37.2%，主要</w:t>
      </w:r>
      <w:r>
        <w:rPr>
          <w:rFonts w:hint="eastAsia" w:ascii="仿宋_GB2312" w:hAnsi="仿宋_GB2312" w:eastAsia="仿宋_GB2312" w:cs="仿宋_GB2312"/>
          <w:sz w:val="32"/>
          <w:szCs w:val="32"/>
          <w:highlight w:val="none"/>
          <w:lang w:eastAsia="zh-CN"/>
        </w:rPr>
        <w:t>原因是</w:t>
      </w:r>
      <w:r>
        <w:rPr>
          <w:rFonts w:hint="eastAsia" w:ascii="仿宋_GB2312" w:hAnsi="仿宋_GB2312" w:eastAsia="仿宋_GB2312" w:cs="仿宋_GB2312"/>
          <w:sz w:val="32"/>
          <w:szCs w:val="32"/>
          <w:highlight w:val="none"/>
          <w:lang w:val="en-US" w:eastAsia="zh-CN"/>
        </w:rPr>
        <w:t>2020年在编实有人数增加2人（1名县级领导干部，1名军转干部），导致2021年工资福利预算支出增加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）一般行政管理事务（</w:t>
      </w:r>
      <w:r>
        <w:rPr>
          <w:rFonts w:hint="eastAsia" w:ascii="仿宋_GB2312" w:hAnsi="仿宋_GB2312" w:eastAsia="仿宋_GB2312" w:cs="仿宋_GB2312"/>
          <w:sz w:val="32"/>
          <w:szCs w:val="32"/>
          <w:highlight w:val="none"/>
          <w:lang w:val="en-US" w:eastAsia="zh-CN"/>
        </w:rPr>
        <w:t>2010602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22万元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较上减少0.5</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下降2.2%，主要</w:t>
      </w:r>
      <w:r>
        <w:rPr>
          <w:rFonts w:hint="eastAsia" w:ascii="仿宋_GB2312" w:hAnsi="仿宋_GB2312" w:eastAsia="仿宋_GB2312" w:cs="仿宋_GB2312"/>
          <w:sz w:val="32"/>
          <w:szCs w:val="32"/>
          <w:highlight w:val="none"/>
          <w:lang w:eastAsia="zh-CN"/>
        </w:rPr>
        <w:t>原因是贯彻执行中省“过紧日子”要求，压减了一般事务管理经费。</w:t>
      </w:r>
    </w:p>
    <w:p>
      <w:pPr>
        <w:pStyle w:val="2"/>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）培训支出（</w:t>
      </w:r>
      <w:r>
        <w:rPr>
          <w:rFonts w:hint="eastAsia" w:ascii="仿宋_GB2312" w:hAnsi="仿宋_GB2312" w:eastAsia="仿宋_GB2312" w:cs="仿宋_GB2312"/>
          <w:sz w:val="32"/>
          <w:szCs w:val="32"/>
          <w:highlight w:val="none"/>
          <w:lang w:val="en-US" w:eastAsia="zh-CN"/>
        </w:rPr>
        <w:t>2050803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10万元，本年首次使用此科目，与去年不能形成对比。</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3、支出按经济科目分类的明细情况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2021年本部门当年一般公共预算支出190.50万元，其中：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工资福利支出（</w:t>
      </w:r>
      <w:r>
        <w:rPr>
          <w:rFonts w:hint="eastAsia" w:ascii="仿宋_GB2312" w:hAnsi="仿宋_GB2312" w:eastAsia="仿宋_GB2312" w:cs="仿宋_GB2312"/>
          <w:sz w:val="32"/>
          <w:szCs w:val="32"/>
          <w:highlight w:val="none"/>
          <w:lang w:val="en-US" w:eastAsia="zh-CN"/>
        </w:rPr>
        <w:t>301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146.96万元，较上年增加26.47</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增长22%，主要</w:t>
      </w:r>
      <w:r>
        <w:rPr>
          <w:rFonts w:hint="eastAsia" w:ascii="仿宋_GB2312" w:hAnsi="仿宋_GB2312" w:eastAsia="仿宋_GB2312" w:cs="仿宋_GB2312"/>
          <w:sz w:val="32"/>
          <w:szCs w:val="32"/>
          <w:highlight w:val="none"/>
          <w:lang w:eastAsia="zh-CN"/>
        </w:rPr>
        <w:t>原因是</w:t>
      </w:r>
      <w:r>
        <w:rPr>
          <w:rFonts w:hint="eastAsia" w:ascii="仿宋_GB2312" w:hAnsi="仿宋_GB2312" w:eastAsia="仿宋_GB2312" w:cs="仿宋_GB2312"/>
          <w:sz w:val="32"/>
          <w:szCs w:val="32"/>
          <w:highlight w:val="none"/>
          <w:lang w:val="en-US" w:eastAsia="zh-CN"/>
        </w:rPr>
        <w:t>2020年在编实有人数增加2人（1名县级领导干部，1名军转干部），导致2021年工资福利预算支出增加</w:t>
      </w:r>
      <w:r>
        <w:rPr>
          <w:rFonts w:hint="eastAsia" w:ascii="仿宋_GB2312" w:hAnsi="仿宋_GB2312" w:eastAsia="仿宋_GB2312" w:cs="仿宋_GB2312"/>
          <w:sz w:val="32"/>
          <w:szCs w:val="32"/>
          <w:highlight w:val="none"/>
          <w:lang w:eastAsia="zh-CN"/>
        </w:rPr>
        <w:t>；</w:t>
      </w:r>
    </w:p>
    <w:p>
      <w:pPr>
        <w:keepNext w:val="0"/>
        <w:keepLines w:val="0"/>
        <w:widowControl/>
        <w:suppressLineNumbers w:val="0"/>
        <w:ind w:firstLine="640" w:firstLineChars="200"/>
        <w:jc w:val="left"/>
      </w:pPr>
      <w:r>
        <w:rPr>
          <w:rFonts w:hint="eastAsia" w:ascii="仿宋_GB2312" w:hAnsi="仿宋_GB2312" w:eastAsia="仿宋_GB2312" w:cs="仿宋_GB2312"/>
          <w:sz w:val="32"/>
          <w:szCs w:val="32"/>
          <w:highlight w:val="none"/>
          <w:lang w:eastAsia="zh-CN"/>
        </w:rPr>
        <w:t>商品和服务支出（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43.29万元，较上年增加1.83</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增长4.4%，主要原因是</w:t>
      </w:r>
      <w:r>
        <w:rPr>
          <w:rFonts w:hint="eastAsia" w:ascii="仿宋" w:hAnsi="仿宋" w:eastAsia="仿宋" w:cs="仿宋"/>
          <w:color w:val="000000"/>
          <w:kern w:val="0"/>
          <w:sz w:val="31"/>
          <w:szCs w:val="31"/>
          <w:lang w:val="en-US" w:eastAsia="zh-CN" w:bidi="ar"/>
        </w:rPr>
        <w:t xml:space="preserve">主要原因是单位人员增加，相应增加了公用经费。 </w:t>
      </w:r>
    </w:p>
    <w:p>
      <w:pPr>
        <w:pStyle w:val="2"/>
        <w:ind w:firstLine="640" w:firstLineChars="200"/>
        <w:rPr>
          <w:rFonts w:hint="default"/>
          <w:lang w:val="en-US" w:eastAsia="zh-CN"/>
        </w:rPr>
      </w:pPr>
      <w:r>
        <w:rPr>
          <w:rFonts w:hint="eastAsia" w:ascii="仿宋_GB2312" w:hAnsi="仿宋_GB2312" w:eastAsia="仿宋_GB2312" w:cs="仿宋_GB2312"/>
          <w:kern w:val="2"/>
          <w:sz w:val="32"/>
          <w:szCs w:val="32"/>
          <w:highlight w:val="none"/>
          <w:lang w:val="en-US" w:eastAsia="zh-CN" w:bidi="ar-SA"/>
        </w:rPr>
        <w:t>对个人和家庭的补助（303）0.26万元，</w:t>
      </w:r>
      <w:r>
        <w:rPr>
          <w:rFonts w:hint="eastAsia" w:ascii="仿宋_GB2312" w:hAnsi="仿宋_GB2312" w:eastAsia="仿宋_GB2312" w:cs="仿宋_GB2312"/>
          <w:sz w:val="32"/>
          <w:szCs w:val="32"/>
          <w:highlight w:val="none"/>
          <w:lang w:val="en-US" w:eastAsia="zh-CN"/>
        </w:rPr>
        <w:t>本年首次使用此科目，与去年不能形成对比。</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z w:val="32"/>
          <w:szCs w:val="32"/>
          <w:highlight w:val="none"/>
          <w:lang w:eastAsia="zh-CN"/>
        </w:rPr>
        <w:t>政府预算</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分类的类级科目</w:t>
      </w:r>
      <w:r>
        <w:rPr>
          <w:rFonts w:hint="eastAsia" w:ascii="仿宋_GB2312" w:hAnsi="仿宋_GB2312" w:eastAsia="仿宋_GB2312" w:cs="仿宋_GB2312"/>
          <w:sz w:val="32"/>
          <w:szCs w:val="32"/>
          <w:highlight w:val="none"/>
          <w:lang w:eastAsia="zh-CN"/>
        </w:rPr>
        <w:t>说明。</w:t>
      </w:r>
      <w:r>
        <w:rPr>
          <w:rFonts w:hint="eastAsia" w:ascii="仿宋_GB2312" w:hAnsi="仿宋_GB2312" w:eastAsia="仿宋_GB2312" w:cs="仿宋_GB2312"/>
          <w:sz w:val="32"/>
          <w:szCs w:val="32"/>
          <w:highlight w:val="none"/>
          <w:lang w:val="en-US" w:eastAsia="zh-CN"/>
        </w:rPr>
        <w:t xml:space="preserve"> 2021年本部门当年一般公共预算支出190.50万元，其中：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机关工资福利支出（</w:t>
      </w:r>
      <w:r>
        <w:rPr>
          <w:rFonts w:hint="eastAsia" w:ascii="仿宋_GB2312" w:hAnsi="仿宋_GB2312" w:eastAsia="仿宋_GB2312" w:cs="仿宋_GB2312"/>
          <w:sz w:val="32"/>
          <w:szCs w:val="32"/>
          <w:highlight w:val="none"/>
          <w:lang w:val="en-US" w:eastAsia="zh-CN"/>
        </w:rPr>
        <w:t>501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146.96万元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较上年增加26.47</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增长22%，主要</w:t>
      </w:r>
      <w:r>
        <w:rPr>
          <w:rFonts w:hint="eastAsia" w:ascii="仿宋_GB2312" w:hAnsi="仿宋_GB2312" w:eastAsia="仿宋_GB2312" w:cs="仿宋_GB2312"/>
          <w:sz w:val="32"/>
          <w:szCs w:val="32"/>
          <w:highlight w:val="none"/>
          <w:lang w:eastAsia="zh-CN"/>
        </w:rPr>
        <w:t>原因是原因是</w:t>
      </w:r>
      <w:r>
        <w:rPr>
          <w:rFonts w:hint="eastAsia" w:ascii="仿宋_GB2312" w:hAnsi="仿宋_GB2312" w:eastAsia="仿宋_GB2312" w:cs="仿宋_GB2312"/>
          <w:sz w:val="32"/>
          <w:szCs w:val="32"/>
          <w:highlight w:val="none"/>
          <w:lang w:val="en-US" w:eastAsia="zh-CN"/>
        </w:rPr>
        <w:t>2020年在编实有人数增加2人（1名县级领导干部，1名军转干部），导致2021年工资福利预算支出增加</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机关商品和服务支出（</w:t>
      </w:r>
      <w:r>
        <w:rPr>
          <w:rFonts w:hint="eastAsia" w:ascii="仿宋_GB2312" w:hAnsi="仿宋_GB2312" w:eastAsia="仿宋_GB2312" w:cs="仿宋_GB2312"/>
          <w:sz w:val="32"/>
          <w:szCs w:val="32"/>
          <w:highlight w:val="none"/>
          <w:lang w:val="en-US" w:eastAsia="zh-CN"/>
        </w:rPr>
        <w:t>502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43.29万元，较上年1.83</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增长4.4%，主要原因是</w:t>
      </w:r>
      <w:r>
        <w:rPr>
          <w:rFonts w:hint="eastAsia" w:ascii="仿宋" w:hAnsi="仿宋" w:eastAsia="仿宋" w:cs="仿宋"/>
          <w:color w:val="000000"/>
          <w:kern w:val="0"/>
          <w:sz w:val="31"/>
          <w:szCs w:val="31"/>
          <w:lang w:val="en-US" w:eastAsia="zh-CN" w:bidi="ar"/>
        </w:rPr>
        <w:t xml:space="preserve">主要原因是单位人员增加，相应增加了公用经费。 </w:t>
      </w:r>
    </w:p>
    <w:p>
      <w:pPr>
        <w:pStyle w:val="2"/>
        <w:ind w:firstLine="640" w:firstLineChars="200"/>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离退休费（509）0.26万元，</w:t>
      </w:r>
      <w:r>
        <w:rPr>
          <w:rFonts w:hint="eastAsia" w:ascii="仿宋_GB2312" w:hAnsi="仿宋_GB2312" w:eastAsia="仿宋_GB2312" w:cs="仿宋_GB2312"/>
          <w:sz w:val="32"/>
          <w:szCs w:val="32"/>
          <w:highlight w:val="none"/>
          <w:lang w:val="en-US" w:eastAsia="zh-CN"/>
        </w:rPr>
        <w:t>本年首次使用此科目，与去年不能形成对比。</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政府性基金预算支出情况。</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政府性基金预算</w:t>
      </w:r>
      <w:r>
        <w:rPr>
          <w:rFonts w:hint="eastAsia" w:ascii="仿宋_GB2312" w:hAnsi="仿宋_GB2312" w:eastAsia="仿宋_GB2312" w:cs="仿宋_GB2312"/>
          <w:sz w:val="32"/>
          <w:szCs w:val="32"/>
          <w:highlight w:val="none"/>
          <w:lang w:eastAsia="zh-CN"/>
        </w:rPr>
        <w:t>收支，并</w:t>
      </w:r>
      <w:r>
        <w:rPr>
          <w:rFonts w:hint="eastAsia" w:ascii="仿宋_GB2312" w:hAnsi="仿宋_GB2312" w:eastAsia="仿宋_GB2312" w:cs="仿宋_GB2312"/>
          <w:sz w:val="32"/>
          <w:szCs w:val="32"/>
          <w:highlight w:val="none"/>
        </w:rPr>
        <w:t>已公开空表</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国有资本经营预算拨款收支情况。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国有资本经营预算拨款收支</w:t>
      </w:r>
      <w:r>
        <w:rPr>
          <w:rFonts w:hint="eastAsia" w:ascii="仿宋_GB2312" w:hAnsi="仿宋_GB2312" w:eastAsia="仿宋_GB2312" w:cs="仿宋_GB2312"/>
          <w:sz w:val="32"/>
          <w:szCs w:val="32"/>
          <w:highlight w:val="none"/>
          <w:lang w:eastAsia="zh-CN"/>
        </w:rPr>
        <w:t>，并在财政拨款收支总体情况表中列示</w:t>
      </w:r>
      <w:r>
        <w:rPr>
          <w:rFonts w:hint="eastAsia" w:ascii="仿宋_GB2312" w:hAnsi="仿宋_GB2312" w:eastAsia="仿宋_GB2312" w:cs="仿宋_GB2312"/>
          <w:sz w:val="32"/>
          <w:szCs w:val="32"/>
          <w:highlight w:val="none"/>
        </w:rPr>
        <w:t>。</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eastAsia="zh-CN"/>
        </w:rPr>
        <w:t>第三部分</w:t>
      </w:r>
      <w:r>
        <w:rPr>
          <w:rFonts w:hint="eastAsia" w:ascii="仿宋" w:hAnsi="仿宋" w:eastAsia="仿宋" w:cs="仿宋"/>
          <w:b/>
          <w:bCs/>
          <w:sz w:val="32"/>
          <w:szCs w:val="32"/>
          <w:lang w:val="en-US" w:eastAsia="zh-CN"/>
        </w:rPr>
        <w:t xml:space="preserve">  其他说明情况</w:t>
      </w:r>
    </w:p>
    <w:p>
      <w:pPr>
        <w:ind w:firstLine="64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部门预算</w:t>
      </w:r>
      <w:r>
        <w:rPr>
          <w:rFonts w:hint="eastAsia" w:ascii="仿宋_GB2312" w:hAnsi="仿宋_GB2312" w:eastAsia="仿宋_GB2312" w:cs="仿宋_GB2312"/>
          <w:b/>
          <w:bCs/>
          <w:sz w:val="32"/>
          <w:szCs w:val="32"/>
          <w:highlight w:val="none"/>
        </w:rPr>
        <w:t>“三公”经费等预算情况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2021年本部门当年一般公共预算“三公”经费预算支出万元，较上年减少1万元，下降33.3%，减少的主要原因是</w:t>
      </w:r>
      <w:r>
        <w:rPr>
          <w:rFonts w:hint="eastAsia" w:ascii="仿宋_GB2312" w:hAnsi="仿宋_GB2312" w:eastAsia="仿宋_GB2312" w:cs="仿宋_GB2312"/>
          <w:sz w:val="32"/>
          <w:szCs w:val="32"/>
          <w:highlight w:val="none"/>
          <w:lang w:eastAsia="zh-CN"/>
        </w:rPr>
        <w:t>贯彻执行中省“过紧日子”要求，</w:t>
      </w:r>
      <w:r>
        <w:rPr>
          <w:rFonts w:hint="eastAsia" w:ascii="仿宋_GB2312" w:hAnsi="仿宋_GB2312" w:eastAsia="仿宋_GB2312" w:cs="仿宋_GB2312"/>
          <w:sz w:val="32"/>
          <w:szCs w:val="32"/>
          <w:highlight w:val="none"/>
          <w:lang w:val="en-US" w:eastAsia="zh-CN"/>
        </w:rPr>
        <w:t>压减了三公经费。其中：因公出国（境）经费0万元，与上年持平，主要是未安排本年度因公出国（境）费用；公务接待费费2万元，较上年减少1万元，下降33.3%，减少的主要原因是</w:t>
      </w:r>
      <w:r>
        <w:rPr>
          <w:rFonts w:hint="eastAsia" w:ascii="仿宋_GB2312" w:hAnsi="仿宋_GB2312" w:eastAsia="仿宋_GB2312" w:cs="仿宋_GB2312"/>
          <w:sz w:val="32"/>
          <w:szCs w:val="32"/>
          <w:highlight w:val="none"/>
          <w:lang w:eastAsia="zh-CN"/>
        </w:rPr>
        <w:t>贯彻执行中省“过紧日子”要求，</w:t>
      </w:r>
      <w:r>
        <w:rPr>
          <w:rFonts w:hint="eastAsia" w:ascii="仿宋_GB2312" w:hAnsi="仿宋_GB2312" w:eastAsia="仿宋_GB2312" w:cs="仿宋_GB2312"/>
          <w:sz w:val="32"/>
          <w:szCs w:val="32"/>
          <w:highlight w:val="none"/>
          <w:lang w:val="en-US" w:eastAsia="zh-CN"/>
        </w:rPr>
        <w:t>压减公务接待费费用；公务用车运行维护费0万元，与上年持平，主要原因是单位无公务用车；公务用车购置费0万元，与上年持平，主要原因是单位未安排购置公务用车。</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 2020年结转的财政拨款‘三公’经费、会议费、培训费支出。</w:t>
      </w:r>
    </w:p>
    <w:p>
      <w:pPr>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2021年部门预算会议费1.2万元，较上年减少5.8万元，下降82.9%，主要是</w:t>
      </w:r>
      <w:r>
        <w:rPr>
          <w:rFonts w:hint="eastAsia" w:ascii="仿宋_GB2312" w:hAnsi="仿宋_GB2312" w:eastAsia="仿宋_GB2312" w:cs="仿宋_GB2312"/>
          <w:sz w:val="32"/>
          <w:szCs w:val="32"/>
          <w:highlight w:val="none"/>
          <w:lang w:eastAsia="zh-CN"/>
        </w:rPr>
        <w:t>贯彻执行中省“过紧日子”要求，</w:t>
      </w:r>
      <w:r>
        <w:rPr>
          <w:rFonts w:hint="eastAsia" w:ascii="仿宋_GB2312" w:hAnsi="仿宋_GB2312" w:eastAsia="仿宋_GB2312" w:cs="仿宋_GB2312"/>
          <w:sz w:val="32"/>
          <w:szCs w:val="32"/>
          <w:highlight w:val="none"/>
          <w:lang w:val="en-US" w:eastAsia="zh-CN"/>
        </w:rPr>
        <w:t>压减了会议经费；2021年部门预算培训费2万元，较上年减少8万元，下降80%，主要是</w:t>
      </w:r>
      <w:r>
        <w:rPr>
          <w:rFonts w:hint="eastAsia" w:ascii="仿宋_GB2312" w:hAnsi="仿宋_GB2312" w:eastAsia="仿宋_GB2312" w:cs="仿宋_GB2312"/>
          <w:sz w:val="32"/>
          <w:szCs w:val="32"/>
          <w:highlight w:val="none"/>
          <w:lang w:eastAsia="zh-CN"/>
        </w:rPr>
        <w:t>贯彻执行中省“过紧日子”要求，</w:t>
      </w:r>
      <w:r>
        <w:rPr>
          <w:rFonts w:hint="eastAsia" w:ascii="仿宋_GB2312" w:hAnsi="仿宋_GB2312" w:eastAsia="仿宋_GB2312" w:cs="仿宋_GB2312"/>
          <w:sz w:val="32"/>
          <w:szCs w:val="32"/>
          <w:highlight w:val="none"/>
          <w:lang w:val="en-US" w:eastAsia="zh-CN"/>
        </w:rPr>
        <w:t>压减了培训经费。</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七、</w:t>
      </w:r>
      <w:r>
        <w:rPr>
          <w:rFonts w:hint="eastAsia" w:ascii="仿宋_GB2312" w:hAnsi="仿宋_GB2312" w:eastAsia="仿宋_GB2312" w:cs="仿宋_GB2312"/>
          <w:b/>
          <w:bCs/>
          <w:sz w:val="32"/>
          <w:szCs w:val="32"/>
          <w:highlight w:val="none"/>
        </w:rPr>
        <w:t>部门国有资产占有使用</w:t>
      </w:r>
      <w:r>
        <w:rPr>
          <w:rFonts w:hint="eastAsia" w:ascii="仿宋_GB2312" w:hAnsi="仿宋_GB2312" w:eastAsia="仿宋_GB2312" w:cs="仿宋_GB2312"/>
          <w:b/>
          <w:bCs/>
          <w:sz w:val="32"/>
          <w:szCs w:val="32"/>
          <w:highlight w:val="none"/>
          <w:lang w:eastAsia="zh-CN"/>
        </w:rPr>
        <w:t>及资产购置</w:t>
      </w:r>
      <w:r>
        <w:rPr>
          <w:rFonts w:hint="eastAsia" w:ascii="仿宋_GB2312" w:hAnsi="仿宋_GB2312" w:eastAsia="仿宋_GB2312" w:cs="仿宋_GB2312"/>
          <w:b/>
          <w:bCs/>
          <w:sz w:val="32"/>
          <w:szCs w:val="32"/>
          <w:highlight w:val="none"/>
        </w:rPr>
        <w:t>情况说明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2020年底，本部门所属预算单位共有车辆0辆，单价20万元以上的设备0台（套）。2021年当年部门预算安排购置车辆0辆；安排购置单价20万元以上的设备0台（套）。</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本部门无20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年结转的财政拨款支出资产购置。</w:t>
      </w:r>
    </w:p>
    <w:p>
      <w:pPr>
        <w:ind w:firstLine="64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、政府采购情况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本部门</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rPr>
        <w:t>无政府</w:t>
      </w:r>
      <w:r>
        <w:rPr>
          <w:rFonts w:hint="eastAsia" w:ascii="仿宋_GB2312" w:hAnsi="仿宋_GB2312" w:eastAsia="仿宋_GB2312" w:cs="仿宋_GB2312"/>
          <w:sz w:val="32"/>
          <w:szCs w:val="32"/>
          <w:highlight w:val="none"/>
          <w:lang w:eastAsia="zh-CN"/>
        </w:rPr>
        <w:t>采购预算，并</w:t>
      </w:r>
      <w:r>
        <w:rPr>
          <w:rFonts w:hint="eastAsia" w:ascii="仿宋_GB2312" w:hAnsi="仿宋_GB2312" w:eastAsia="仿宋_GB2312" w:cs="仿宋_GB2312"/>
          <w:sz w:val="32"/>
          <w:szCs w:val="32"/>
          <w:highlight w:val="none"/>
        </w:rPr>
        <w:t>已公开空表。</w:t>
      </w:r>
    </w:p>
    <w:p>
      <w:pPr>
        <w:ind w:firstLine="640"/>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本部门无2020年结转的政府采购资金支出，并已公开空表。</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九、</w:t>
      </w:r>
      <w:r>
        <w:rPr>
          <w:rFonts w:hint="eastAsia" w:ascii="仿宋_GB2312" w:hAnsi="仿宋_GB2312" w:eastAsia="仿宋_GB2312" w:cs="仿宋_GB2312"/>
          <w:b/>
          <w:bCs/>
          <w:sz w:val="32"/>
          <w:szCs w:val="32"/>
          <w:highlight w:val="none"/>
        </w:rPr>
        <w:t>部门预算绩效目标</w:t>
      </w:r>
      <w:r>
        <w:rPr>
          <w:rFonts w:hint="eastAsia" w:ascii="仿宋_GB2312" w:hAnsi="仿宋_GB2312" w:eastAsia="仿宋_GB2312" w:cs="仿宋_GB2312"/>
          <w:b/>
          <w:bCs/>
          <w:sz w:val="32"/>
          <w:szCs w:val="32"/>
          <w:highlight w:val="none"/>
          <w:lang w:eastAsia="zh-CN"/>
        </w:rPr>
        <w:t>情况</w:t>
      </w:r>
      <w:r>
        <w:rPr>
          <w:rFonts w:hint="eastAsia" w:ascii="仿宋_GB2312" w:hAnsi="仿宋_GB2312" w:eastAsia="仿宋_GB2312" w:cs="仿宋_GB2312"/>
          <w:b/>
          <w:bCs/>
          <w:sz w:val="32"/>
          <w:szCs w:val="32"/>
          <w:highlight w:val="none"/>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2021年本部门绩效目标管理全覆盖，涉及当年一般公共预算当年拨款190.50万元,当年政府性基金</w:t>
      </w:r>
      <w:r>
        <w:rPr>
          <w:rFonts w:hint="eastAsia" w:ascii="仿宋_GB2312" w:hAnsi="仿宋_GB2312" w:eastAsia="仿宋_GB2312" w:cs="仿宋_GB2312"/>
          <w:sz w:val="32"/>
          <w:szCs w:val="32"/>
          <w:highlight w:val="none"/>
          <w:lang w:eastAsia="zh-CN"/>
        </w:rPr>
        <w:t>预算当年拨款</w:t>
      </w:r>
      <w:r>
        <w:rPr>
          <w:rFonts w:hint="eastAsia" w:ascii="仿宋_GB2312" w:hAnsi="仿宋_GB2312" w:eastAsia="仿宋_GB2312" w:cs="仿宋_GB2312"/>
          <w:sz w:val="32"/>
          <w:szCs w:val="32"/>
          <w:highlight w:val="none"/>
          <w:lang w:val="en-US" w:eastAsia="zh-CN"/>
        </w:rPr>
        <w:t>0万元，当年国有资本经营预算拨款0万元（详见公开报表中的绩效目标表）。</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年结转的财政拨款支出继续实施原有绩效目标管理。</w:t>
      </w:r>
    </w:p>
    <w:p>
      <w:pPr>
        <w:ind w:firstLine="64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rPr>
        <w:t>机关运行经费安排情况</w:t>
      </w:r>
      <w:r>
        <w:rPr>
          <w:rFonts w:hint="eastAsia" w:ascii="仿宋_GB2312" w:hAnsi="仿宋_GB2312" w:eastAsia="仿宋_GB2312" w:cs="仿宋_GB2312"/>
          <w:b/>
          <w:bCs/>
          <w:sz w:val="32"/>
          <w:szCs w:val="32"/>
          <w:highlight w:val="none"/>
          <w:lang w:eastAsia="zh-CN"/>
        </w:rPr>
        <w:t>说明</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本部门当年机关运行经费预算安排 </w:t>
      </w:r>
      <w:r>
        <w:rPr>
          <w:rFonts w:hint="eastAsia" w:ascii="仿宋" w:hAnsi="仿宋" w:eastAsia="仿宋" w:cs="仿宋"/>
          <w:color w:val="000000"/>
          <w:kern w:val="0"/>
          <w:sz w:val="31"/>
          <w:szCs w:val="31"/>
          <w:lang w:val="en-US" w:eastAsia="zh-CN" w:bidi="ar"/>
        </w:rPr>
        <w:t>9.79</w:t>
      </w:r>
      <w:r>
        <w:rPr>
          <w:rFonts w:ascii="仿宋" w:hAnsi="仿宋" w:eastAsia="仿宋" w:cs="仿宋"/>
          <w:color w:val="000000"/>
          <w:kern w:val="0"/>
          <w:sz w:val="31"/>
          <w:szCs w:val="31"/>
          <w:lang w:val="en-US" w:eastAsia="zh-CN" w:bidi="ar"/>
        </w:rPr>
        <w:t xml:space="preserve">万元，较上年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增加0.83万元，增加9.2%，主要原因是单位人员增加，相应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增加了公用经费。 </w:t>
      </w:r>
    </w:p>
    <w:p>
      <w:pPr>
        <w:keepNext w:val="0"/>
        <w:keepLines w:val="0"/>
        <w:widowControl/>
        <w:suppressLineNumbers w:val="0"/>
        <w:ind w:firstLine="620" w:firstLineChars="200"/>
        <w:jc w:val="left"/>
        <w:rPr>
          <w:rFonts w:hint="eastAsia" w:ascii="仿宋_GB2312" w:hAnsi="仿宋_GB2312" w:eastAsia="仿宋_GB2312" w:cs="仿宋_GB2312"/>
          <w:sz w:val="32"/>
          <w:szCs w:val="32"/>
          <w:highlight w:val="none"/>
          <w:lang w:val="en-US" w:eastAsia="zh-CN"/>
        </w:rPr>
      </w:pPr>
      <w:r>
        <w:rPr>
          <w:rFonts w:hint="eastAsia" w:ascii="仿宋" w:hAnsi="仿宋" w:eastAsia="仿宋" w:cs="仿宋"/>
          <w:color w:val="000000"/>
          <w:kern w:val="0"/>
          <w:sz w:val="31"/>
          <w:szCs w:val="31"/>
          <w:lang w:val="en-US" w:eastAsia="zh-CN" w:bidi="ar"/>
        </w:rPr>
        <w:t>本部门无 2020 年结转的财政拨款机关运行经费支出行。</w:t>
      </w:r>
    </w:p>
    <w:p>
      <w:pPr>
        <w:ind w:firstLine="64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eastAsia="zh-CN"/>
        </w:rPr>
        <w:t>十一</w:t>
      </w:r>
      <w:r>
        <w:rPr>
          <w:rFonts w:hint="eastAsia" w:ascii="仿宋_GB2312" w:hAnsi="仿宋_GB2312" w:eastAsia="仿宋_GB2312" w:cs="仿宋_GB2312"/>
          <w:b/>
          <w:bCs/>
          <w:sz w:val="32"/>
          <w:szCs w:val="32"/>
          <w:highlight w:val="none"/>
        </w:rPr>
        <w:t>、专业名词解释</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1.机关运行经费：指各部门的公用经费，包括办公及印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刷费、邮电费、差旅费、会议费、福利费、日常维修费、专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用材料及一般设备购置费、办公用房水电费、办公用房取暖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费、办公用房物业管理费、公务用车运行费以及其他费用。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2.支出经济分类：主要反映政府各项支出的经济性质和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具体用途。支出经济分类设置类、款两级科目。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3.“三公”经费：指市级部门用财政拨款安排的因公出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国（境）费、公务用车购置及运行费和公务接待费。其中，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因公出国（境）费指单位公务出国（境）的住宿费、旅费、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伙食补助费、杂费、培训费等支出；公务用车购置及运行费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指单位公务用车购置费及租用费、燃料费、维修费、过路过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桥费、保险费、安全奖励费用等支出；公务接待费指单位按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规定开支的各类公务接待（含外宾接待）支出。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4.机关运行经费：指各部门的公用经费，包括办公及印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刷费、邮电费、差旅费、会议费、福利费、日常维修费、专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用材料及一般设备购置费、办公用房水电费、办公用房取暖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费、办公用房物业管理费、公务用车运行维护费及其他费用。 </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第四部分</w:t>
      </w:r>
      <w:r>
        <w:rPr>
          <w:rFonts w:hint="eastAsia" w:ascii="仿宋" w:hAnsi="仿宋" w:eastAsia="仿宋" w:cs="仿宋"/>
          <w:b/>
          <w:bCs/>
          <w:sz w:val="32"/>
          <w:szCs w:val="32"/>
          <w:lang w:val="en-US" w:eastAsia="zh-CN"/>
        </w:rPr>
        <w:t xml:space="preserve">  公开报表</w:t>
      </w:r>
      <w:r>
        <w:rPr>
          <w:rFonts w:hint="eastAsia" w:ascii="仿宋" w:hAnsi="仿宋" w:eastAsia="仿宋" w:cs="仿宋"/>
          <w:b/>
          <w:bCs/>
          <w:sz w:val="32"/>
          <w:szCs w:val="32"/>
        </w:rPr>
        <w:tab/>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p>
    <w:p>
      <w:pPr>
        <w:rPr>
          <w:highlight w:val="none"/>
        </w:rPr>
      </w:pPr>
    </w:p>
    <w:sectPr>
      <w:pgSz w:w="11906" w:h="16838"/>
      <w:pgMar w:top="1440" w:right="1800" w:bottom="1440" w:left="180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745F"/>
    <w:rsid w:val="00C00F40"/>
    <w:rsid w:val="01A26759"/>
    <w:rsid w:val="03C6239C"/>
    <w:rsid w:val="044538BC"/>
    <w:rsid w:val="04A805C4"/>
    <w:rsid w:val="059F2A0D"/>
    <w:rsid w:val="08867E9A"/>
    <w:rsid w:val="091C38F1"/>
    <w:rsid w:val="098931ED"/>
    <w:rsid w:val="09FD68C4"/>
    <w:rsid w:val="0B5A03C7"/>
    <w:rsid w:val="0C1830E2"/>
    <w:rsid w:val="0C8739FB"/>
    <w:rsid w:val="0DCB4BB8"/>
    <w:rsid w:val="100D4DFD"/>
    <w:rsid w:val="11D22A99"/>
    <w:rsid w:val="147B104B"/>
    <w:rsid w:val="14C1360F"/>
    <w:rsid w:val="169C65B3"/>
    <w:rsid w:val="169F689B"/>
    <w:rsid w:val="17C870C9"/>
    <w:rsid w:val="19F24C5F"/>
    <w:rsid w:val="1A25019A"/>
    <w:rsid w:val="1A6F701C"/>
    <w:rsid w:val="1A831662"/>
    <w:rsid w:val="1A967305"/>
    <w:rsid w:val="1B111851"/>
    <w:rsid w:val="1C3C4688"/>
    <w:rsid w:val="1C794115"/>
    <w:rsid w:val="1DC31186"/>
    <w:rsid w:val="1EBA662A"/>
    <w:rsid w:val="1F4D7470"/>
    <w:rsid w:val="24E73B22"/>
    <w:rsid w:val="251554EC"/>
    <w:rsid w:val="258A1CF7"/>
    <w:rsid w:val="26C768BB"/>
    <w:rsid w:val="27C95077"/>
    <w:rsid w:val="28454EB7"/>
    <w:rsid w:val="2A452C34"/>
    <w:rsid w:val="2AD46973"/>
    <w:rsid w:val="2D3E4FD2"/>
    <w:rsid w:val="2EC93620"/>
    <w:rsid w:val="2EE63CA4"/>
    <w:rsid w:val="2EFB6E57"/>
    <w:rsid w:val="2F0A033E"/>
    <w:rsid w:val="31007985"/>
    <w:rsid w:val="32340097"/>
    <w:rsid w:val="3379120C"/>
    <w:rsid w:val="33B7184D"/>
    <w:rsid w:val="33D4319F"/>
    <w:rsid w:val="33E93A22"/>
    <w:rsid w:val="34210D0E"/>
    <w:rsid w:val="35A427DE"/>
    <w:rsid w:val="35A46EDD"/>
    <w:rsid w:val="37821316"/>
    <w:rsid w:val="3B8102AC"/>
    <w:rsid w:val="3C64642A"/>
    <w:rsid w:val="3CAC09AF"/>
    <w:rsid w:val="3D7C00EB"/>
    <w:rsid w:val="3E2A25EB"/>
    <w:rsid w:val="41E30B6E"/>
    <w:rsid w:val="42212B87"/>
    <w:rsid w:val="45E5510A"/>
    <w:rsid w:val="460E1C13"/>
    <w:rsid w:val="46191402"/>
    <w:rsid w:val="487A3E03"/>
    <w:rsid w:val="48A15695"/>
    <w:rsid w:val="48D13140"/>
    <w:rsid w:val="4A076BC2"/>
    <w:rsid w:val="4CCB3578"/>
    <w:rsid w:val="4ED66FD4"/>
    <w:rsid w:val="4FA26678"/>
    <w:rsid w:val="514C1BF3"/>
    <w:rsid w:val="51EF4BB9"/>
    <w:rsid w:val="521A35B4"/>
    <w:rsid w:val="52323DAB"/>
    <w:rsid w:val="56067571"/>
    <w:rsid w:val="562F2C38"/>
    <w:rsid w:val="57DD3661"/>
    <w:rsid w:val="58536641"/>
    <w:rsid w:val="589A4EA0"/>
    <w:rsid w:val="589F30C4"/>
    <w:rsid w:val="5D9E21A8"/>
    <w:rsid w:val="5E1E048F"/>
    <w:rsid w:val="60907740"/>
    <w:rsid w:val="612F6236"/>
    <w:rsid w:val="614E6894"/>
    <w:rsid w:val="62272322"/>
    <w:rsid w:val="6343156C"/>
    <w:rsid w:val="642E71D3"/>
    <w:rsid w:val="66A210E1"/>
    <w:rsid w:val="678604C7"/>
    <w:rsid w:val="68D2237D"/>
    <w:rsid w:val="699D3727"/>
    <w:rsid w:val="6A753CD8"/>
    <w:rsid w:val="6B1555CF"/>
    <w:rsid w:val="6BC2035A"/>
    <w:rsid w:val="6EF97113"/>
    <w:rsid w:val="71F21BE4"/>
    <w:rsid w:val="748D416E"/>
    <w:rsid w:val="79164649"/>
    <w:rsid w:val="7A5C2F05"/>
    <w:rsid w:val="7A7810A8"/>
    <w:rsid w:val="7A7B1A42"/>
    <w:rsid w:val="7A7F745F"/>
    <w:rsid w:val="7C2427D2"/>
    <w:rsid w:val="7E953FD1"/>
    <w:rsid w:val="7FF80FFF"/>
    <w:rsid w:val="7FFC0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qFormat/>
    <w:uiPriority w:val="0"/>
    <w:pPr>
      <w:spacing w:line="240" w:lineRule="auto"/>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编制数</c:v>
                </c:pt>
              </c:strCache>
            </c:strRef>
          </c:tx>
          <c:spPr>
            <a:solidFill>
              <a:schemeClr val="accent1"/>
            </a:solidFill>
            <a:ln>
              <a:noFill/>
            </a:ln>
            <a:effectLst/>
          </c:spPr>
          <c:invertIfNegative val="0"/>
          <c:dLbls>
            <c:delete val="1"/>
          </c:dLbls>
          <c:cat>
            <c:strRef>
              <c:f>Sheet1!$A$2:$A$4</c:f>
              <c:strCache>
                <c:ptCount val="3"/>
                <c:pt idx="0">
                  <c:v>行政编制</c:v>
                </c:pt>
                <c:pt idx="1">
                  <c:v>工勤编制</c:v>
                </c:pt>
                <c:pt idx="2">
                  <c:v>退休人员</c:v>
                </c:pt>
              </c:strCache>
            </c:strRef>
          </c:cat>
          <c:val>
            <c:numRef>
              <c:f>Sheet1!$B$2:$B$4</c:f>
              <c:numCache>
                <c:formatCode>General</c:formatCode>
                <c:ptCount val="3"/>
                <c:pt idx="0">
                  <c:v>8</c:v>
                </c:pt>
                <c:pt idx="1">
                  <c:v>1</c:v>
                </c:pt>
                <c:pt idx="2">
                  <c:v>4</c:v>
                </c:pt>
              </c:numCache>
            </c:numRef>
          </c:val>
        </c:ser>
        <c:ser>
          <c:idx val="1"/>
          <c:order val="1"/>
          <c:tx>
            <c:strRef>
              <c:f>Sheet1!$C$1</c:f>
              <c:strCache>
                <c:ptCount val="1"/>
                <c:pt idx="0">
                  <c:v>实有人数</c:v>
                </c:pt>
              </c:strCache>
            </c:strRef>
          </c:tx>
          <c:spPr>
            <a:solidFill>
              <a:schemeClr val="accent2"/>
            </a:solidFill>
            <a:ln>
              <a:noFill/>
            </a:ln>
            <a:effectLst/>
          </c:spPr>
          <c:invertIfNegative val="0"/>
          <c:dLbls>
            <c:delete val="1"/>
          </c:dLbls>
          <c:cat>
            <c:strRef>
              <c:f>Sheet1!$A$2:$A$4</c:f>
              <c:strCache>
                <c:ptCount val="3"/>
                <c:pt idx="0">
                  <c:v>行政编制</c:v>
                </c:pt>
                <c:pt idx="1">
                  <c:v>工勤编制</c:v>
                </c:pt>
                <c:pt idx="2">
                  <c:v>退休人员</c:v>
                </c:pt>
              </c:strCache>
            </c:strRef>
          </c:cat>
          <c:val>
            <c:numRef>
              <c:f>Sheet1!$C$2:$C$4</c:f>
              <c:numCache>
                <c:formatCode>General</c:formatCode>
                <c:ptCount val="3"/>
                <c:pt idx="0">
                  <c:v>10</c:v>
                </c:pt>
              </c:numCache>
            </c:numRef>
          </c:val>
        </c:ser>
        <c:dLbls>
          <c:showLegendKey val="0"/>
          <c:showVal val="0"/>
          <c:showCatName val="0"/>
          <c:showSerName val="0"/>
          <c:showPercent val="0"/>
          <c:showBubbleSize val="0"/>
        </c:dLbls>
        <c:gapWidth val="219"/>
        <c:overlap val="-27"/>
        <c:axId val="975304346"/>
        <c:axId val="673821472"/>
      </c:barChart>
      <c:catAx>
        <c:axId val="9753043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821472"/>
        <c:crosses val="autoZero"/>
        <c:auto val="1"/>
        <c:lblAlgn val="ctr"/>
        <c:lblOffset val="100"/>
        <c:noMultiLvlLbl val="0"/>
      </c:catAx>
      <c:valAx>
        <c:axId val="67382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3043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Civic">
      <a:dk1>
        <a:sysClr val="windowText" lastClr="000000"/>
      </a:dk1>
      <a:lt1>
        <a:sysClr val="window" lastClr="CCE8C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2019-10-12T01:15:00Z</dcterms:created>
  <dc:creator>郭超(退回修改.)</dc:creator>
  <cp:lastModifiedBy>高语泽</cp:lastModifiedBy>
  <cp:lastPrinted>2021-03-01T10:39:00Z</cp:lastPrinted>
  <dcterms:modified xsi:type="dcterms:W3CDTF">2021-03-26T01:20:54Z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E6578C6368334A3F95522F71E643CE19</vt:lpwstr>
  </property>
</Properties>
</file>